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Temeljem članka 66. Zakona o gospodarenju otpadom (''Narodne novine'' broj </w:t>
      </w:r>
      <w:hyperlink r:id="rId6" w:tgtFrame="_blank" w:history="1">
        <w:r w:rsidRPr="00371582">
          <w:rPr>
            <w:rFonts w:ascii="Times New Roman" w:eastAsia="Calibri" w:hAnsi="Times New Roman" w:cs="Times New Roman"/>
            <w:b/>
            <w:bCs/>
            <w:color w:val="3B69B7"/>
            <w:sz w:val="21"/>
            <w:szCs w:val="21"/>
            <w:u w:val="single"/>
            <w:bdr w:val="none" w:sz="0" w:space="0" w:color="auto" w:frame="1"/>
            <w:shd w:val="clear" w:color="auto" w:fill="E4E4E7"/>
          </w:rPr>
          <w:t>84/21</w:t>
        </w:r>
      </w:hyperlink>
      <w:r w:rsidRPr="00371582">
        <w:rPr>
          <w:rFonts w:ascii="Times New Roman" w:eastAsia="Calibri" w:hAnsi="Times New Roman" w:cs="Times New Roman"/>
          <w:color w:val="414145"/>
          <w:sz w:val="21"/>
          <w:szCs w:val="21"/>
          <w:shd w:val="clear" w:color="auto" w:fill="E4E4E7"/>
        </w:rPr>
        <w:t>, </w:t>
      </w:r>
      <w:hyperlink r:id="rId7" w:tgtFrame="_blank" w:history="1">
        <w:r w:rsidRPr="00371582">
          <w:rPr>
            <w:rFonts w:ascii="Times New Roman" w:eastAsia="Calibri" w:hAnsi="Times New Roman" w:cs="Times New Roman"/>
            <w:b/>
            <w:bCs/>
            <w:color w:val="497FD7"/>
            <w:sz w:val="21"/>
            <w:szCs w:val="21"/>
            <w:u w:val="single"/>
            <w:shd w:val="clear" w:color="auto" w:fill="E4E4E7"/>
          </w:rPr>
          <w:t>142/23</w:t>
        </w:r>
      </w:hyperlink>
      <w:r w:rsidRPr="00371582">
        <w:rPr>
          <w:rFonts w:ascii="Times New Roman" w:eastAsia="Calibri" w:hAnsi="Times New Roman" w:cs="Times New Roman"/>
        </w:rPr>
        <w:t xml:space="preserve">), načelnik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dana 21.05.2026. godine donosi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71582">
        <w:rPr>
          <w:rFonts w:ascii="Times New Roman" w:eastAsia="Calibri" w:hAnsi="Times New Roman" w:cs="Times New Roman"/>
          <w:b/>
          <w:bCs/>
        </w:rPr>
        <w:t>I Z V J E Š Ć E</w:t>
      </w:r>
    </w:p>
    <w:p w:rsidR="004E4C54" w:rsidRPr="00371582" w:rsidRDefault="004E4C54" w:rsidP="004E4C5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 xml:space="preserve">o provedenom SAVJETOVANJU SA ZAINTERESIRANOM JAVNOŠĆU - Nacrt Odluke </w:t>
      </w:r>
      <w:bookmarkStart w:id="0" w:name="_Hlk230334572"/>
      <w:r w:rsidRPr="00371582">
        <w:rPr>
          <w:rFonts w:ascii="Times New Roman" w:eastAsia="Calibri" w:hAnsi="Times New Roman" w:cs="Times New Roman"/>
          <w:b/>
          <w:bCs/>
        </w:rPr>
        <w:t xml:space="preserve">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  <w:b/>
          <w:bCs/>
        </w:rPr>
        <w:t>Viškovci</w:t>
      </w:r>
      <w:bookmarkEnd w:id="0"/>
      <w:proofErr w:type="spellEnd"/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>Tijelo nadležno za izradu nacrta Odluke</w:t>
      </w:r>
      <w:r w:rsidRPr="00371582">
        <w:rPr>
          <w:rFonts w:ascii="Times New Roman" w:eastAsia="Calibri" w:hAnsi="Times New Roman" w:cs="Times New Roman"/>
        </w:rPr>
        <w:t xml:space="preserve"> </w:t>
      </w:r>
      <w:r w:rsidRPr="00371582">
        <w:rPr>
          <w:rFonts w:ascii="Times New Roman" w:eastAsia="Calibri" w:hAnsi="Times New Roman" w:cs="Times New Roman"/>
          <w:b/>
          <w:bCs/>
        </w:rPr>
        <w:t xml:space="preserve">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  <w:b/>
          <w:bCs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:  Općina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, Grobljanska 26, 31401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 xml:space="preserve">Datum nacrta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  <w:b/>
          <w:bCs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: travanj 2026. godine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 xml:space="preserve">Obuhvat nacrta </w:t>
      </w:r>
      <w:bookmarkStart w:id="1" w:name="_Hlk230334679"/>
      <w:r w:rsidRPr="00371582">
        <w:rPr>
          <w:rFonts w:ascii="Times New Roman" w:eastAsia="Calibri" w:hAnsi="Times New Roman" w:cs="Times New Roman"/>
          <w:b/>
          <w:bCs/>
        </w:rPr>
        <w:t xml:space="preserve">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  <w:b/>
          <w:bCs/>
        </w:rPr>
        <w:t>Viškovci</w:t>
      </w:r>
      <w:bookmarkEnd w:id="1"/>
      <w:proofErr w:type="spellEnd"/>
      <w:r w:rsidRPr="00371582">
        <w:rPr>
          <w:rFonts w:ascii="Times New Roman" w:eastAsia="Calibri" w:hAnsi="Times New Roman" w:cs="Times New Roman"/>
        </w:rPr>
        <w:t xml:space="preserve">: područje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 xml:space="preserve">Propisi temeljem kojeg se nacrt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  <w:b/>
          <w:bCs/>
        </w:rPr>
        <w:t>Viškovci</w:t>
      </w:r>
      <w:proofErr w:type="spellEnd"/>
      <w:r w:rsidRPr="00371582">
        <w:rPr>
          <w:rFonts w:ascii="Times New Roman" w:eastAsia="Calibri" w:hAnsi="Times New Roman" w:cs="Times New Roman"/>
          <w:b/>
          <w:bCs/>
        </w:rPr>
        <w:t xml:space="preserve"> donosi</w:t>
      </w:r>
      <w:r w:rsidRPr="00371582">
        <w:rPr>
          <w:rFonts w:ascii="Times New Roman" w:eastAsia="Calibri" w:hAnsi="Times New Roman" w:cs="Times New Roman"/>
        </w:rPr>
        <w:t>: Zakona o gospodarenju otpadom (''Narodne novine'' broj 84/21, 142/23) i UREDBA O GOSPODARENJU KOMUNALNIM OTPADOM (''Narodne novine'' 50/17, 84/19)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>Način davanja mišljenja, primjedbi i prijedloga</w:t>
      </w:r>
      <w:r w:rsidRPr="00371582">
        <w:rPr>
          <w:rFonts w:ascii="Times New Roman" w:eastAsia="Calibri" w:hAnsi="Times New Roman" w:cs="Times New Roman"/>
        </w:rPr>
        <w:t xml:space="preserve">: primjedbe i prijedlozi na nacrt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u pisanom obliku mogli su se dostavljati do zaključivanja javnog savjetovanja putem elektroničke pošte na: </w:t>
      </w:r>
      <w:hyperlink r:id="rId8" w:history="1">
        <w:r w:rsidRPr="00371582">
          <w:rPr>
            <w:rFonts w:ascii="Times New Roman" w:eastAsia="Calibri" w:hAnsi="Times New Roman" w:cs="Times New Roman"/>
            <w:color w:val="0563C1"/>
            <w:u w:val="single"/>
          </w:rPr>
          <w:t>opcina@viskovci.hr</w:t>
        </w:r>
      </w:hyperlink>
      <w:r w:rsidRPr="00371582">
        <w:rPr>
          <w:rFonts w:ascii="Times New Roman" w:eastAsia="Calibri" w:hAnsi="Times New Roman" w:cs="Times New Roman"/>
        </w:rPr>
        <w:t xml:space="preserve"> ili u pisanom obliku na adresu: Općina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, Grobljanska 26, 31401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, s naznakom </w:t>
      </w:r>
      <w:r w:rsidRPr="00371582">
        <w:rPr>
          <w:rFonts w:ascii="Times New Roman" w:eastAsia="Calibri" w:hAnsi="Times New Roman" w:cs="Times New Roman"/>
          <w:b/>
          <w:bCs/>
          <w:i/>
          <w:iCs/>
        </w:rPr>
        <w:t xml:space="preserve">"Savjetovanje s javnošću – nacrt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  <w:b/>
          <w:bCs/>
          <w:i/>
          <w:iCs/>
        </w:rPr>
        <w:t>Viškovci</w:t>
      </w:r>
      <w:proofErr w:type="spellEnd"/>
      <w:r w:rsidRPr="00371582">
        <w:rPr>
          <w:rFonts w:ascii="Times New Roman" w:eastAsia="Calibri" w:hAnsi="Times New Roman" w:cs="Times New Roman"/>
          <w:b/>
          <w:bCs/>
          <w:i/>
          <w:iCs/>
        </w:rPr>
        <w:t>“</w:t>
      </w:r>
      <w:r w:rsidRPr="00371582">
        <w:rPr>
          <w:rFonts w:ascii="Times New Roman" w:eastAsia="Calibri" w:hAnsi="Times New Roman" w:cs="Times New Roman"/>
        </w:rPr>
        <w:t xml:space="preserve">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>Vrijeme uvida</w:t>
      </w:r>
      <w:r w:rsidRPr="00371582">
        <w:rPr>
          <w:rFonts w:ascii="Times New Roman" w:eastAsia="Calibri" w:hAnsi="Times New Roman" w:cs="Times New Roman"/>
        </w:rPr>
        <w:t xml:space="preserve">: nacrta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bio je na javnom uvidu u trajanju od minimalno 30. dana, i to od 17. travnja 2026. – 18. svibnja 2026. godine, sukladno članku 66. stavku 4. Zakona o gospodarenju otpadom koji kaže: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rPr>
          <w:rFonts w:ascii="Times New Roman" w:eastAsia="Calibri" w:hAnsi="Times New Roman" w:cs="Times New Roman"/>
          <w:i/>
          <w:iCs/>
        </w:rPr>
      </w:pPr>
      <w:r w:rsidRPr="00371582">
        <w:rPr>
          <w:rFonts w:ascii="Times New Roman" w:eastAsia="Calibri" w:hAnsi="Times New Roman" w:cs="Times New Roman"/>
          <w:i/>
          <w:iCs/>
        </w:rPr>
        <w:t>''(4) O odluci iz stavka 1. ovoga članka potrebno je provesti prethodno savjetovanje s zainteresiranom javnošću u trajanju od najmanje 30 dana.''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Prijedlog nacrta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bio je na javnom savjetovanju na službenoj web stranici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, </w:t>
      </w:r>
      <w:hyperlink r:id="rId9" w:history="1">
        <w:r w:rsidRPr="00371582">
          <w:rPr>
            <w:rFonts w:ascii="Times New Roman" w:eastAsia="Calibri" w:hAnsi="Times New Roman" w:cs="Times New Roman"/>
            <w:color w:val="0563C1"/>
            <w:u w:val="single"/>
          </w:rPr>
          <w:t>https://www.viskovci.hr/savjetovanje-sa-zainteresiranom-javnoscu-nacrt-odluke-o-izmjeni-odluke-o-nacinu-pruzanja-javne-usluge-sakupljanja-komunalnog-otpada-na-podrucju-opcine-viskovci/</w:t>
        </w:r>
      </w:hyperlink>
      <w:r w:rsidRPr="00371582">
        <w:rPr>
          <w:rFonts w:ascii="Times New Roman" w:eastAsia="Calibri" w:hAnsi="Times New Roman" w:cs="Times New Roman"/>
        </w:rPr>
        <w:t xml:space="preserve">  , i na oglasnoj ploči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, zajedno sa popratnom dokumentacijom.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  <w:b/>
          <w:bCs/>
        </w:rPr>
        <w:t>Svrha dokumenta</w:t>
      </w:r>
      <w:r w:rsidRPr="00371582">
        <w:rPr>
          <w:rFonts w:ascii="Times New Roman" w:eastAsia="Calibri" w:hAnsi="Times New Roman" w:cs="Times New Roman"/>
        </w:rPr>
        <w:t xml:space="preserve">: Izvješćivanje o provedenom javnom savjetovanju o nacrtu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.</w:t>
      </w:r>
      <w:r w:rsidRPr="00371582">
        <w:rPr>
          <w:rFonts w:ascii="Times New Roman" w:eastAsia="Calibri" w:hAnsi="Times New Roman" w:cs="Times New Roman"/>
        </w:rPr>
        <w:cr/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Tijekom trajanja javnog uvida zainteresirana javnost mogla je dati svoja očitovanja, primjedbe i prijedloge putem priloženog obrasca.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lastRenderedPageBreak/>
        <w:t xml:space="preserve">Do kraja javnog savjetovanja zaprimljena je jedna primjedba na navedeni nacrtu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(primjedba Perice Barić) na e-mail koji nije naveden u pozivu na javno savjetovanje.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Primjedba koja se sastojala od niza opaski koje ne utječu na valjanost nacrta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, iz razloga što su navedene opaske navedene paušalno i ne pobijajući sadržaj samog nacrta navedene Odluke. Naime, iz navedenih opaski je jasno vidljivo da su iste napisane uz korištenje alata poput umjetne inteligencije. Dio opaski se odnosi na tehničke stvari u nacrtu Odluke poput nenavođenja podataka o broju sjednice i datumu donošenja u zaglavlju, a obzirom da se radi o radnom materijalu koji se dostavlja vijećnicima na uvid prije samog glasovanja, isto se popunjava nakon što odluka bude usvojena i prije nego što bude objavljena u službenom glasniku. Nacrt Odluke je napravljen u skladu sa Zakonom o gospodarenju otpadom, Odlukom o načinu pružanja javne usluge skupljanja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donesenoj dana 31.01.2022. godine na 6. sjednici Općinskog vijeća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, i Statutom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Primjedba gospodina Perice Barić (u cijelosti):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71582">
        <w:rPr>
          <w:rFonts w:ascii="Times New Roman" w:eastAsia="Calibri" w:hAnsi="Times New Roman" w:cs="Times New Roman"/>
          <w:b/>
          <w:bCs/>
        </w:rPr>
        <w:t xml:space="preserve">Ovlasti i pravna valjanost (kratko)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Pozivanje na čl. 66. Zakona o gospodarenju otpadom i na statut Općine daje Općinskom vijeću opću nadležnost za donošenje odluke o načinu pružanja javne usluge — osnovna pravna osnova postojeća je i prikladno citirana.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Potrebno je provjeriti da li je izvornom Odlukom (SG Općine broj 1/21) propisana mogućnost izmjena cjenika/iznosa putem odluke vijeća; ako je to regulirano ugovorom s davateljem usluge ili posebnom odredbom, izmjene moraju biti u skladu s tim.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Ako davatelj usluge (</w:t>
      </w:r>
      <w:proofErr w:type="spellStart"/>
      <w:r w:rsidRPr="00371582">
        <w:rPr>
          <w:rFonts w:ascii="Times New Roman" w:eastAsia="Calibri" w:hAnsi="Times New Roman" w:cs="Times New Roman"/>
        </w:rPr>
        <w:t>Univerzal</w:t>
      </w:r>
      <w:proofErr w:type="spellEnd"/>
      <w:r w:rsidRPr="00371582">
        <w:rPr>
          <w:rFonts w:ascii="Times New Roman" w:eastAsia="Calibri" w:hAnsi="Times New Roman" w:cs="Times New Roman"/>
        </w:rPr>
        <w:t xml:space="preserve"> d.o.o.) ima ugovornu zaštitu cijena ili ugovor s posebnim klauzulama o </w:t>
      </w:r>
      <w:proofErr w:type="spellStart"/>
      <w:r w:rsidRPr="00371582">
        <w:rPr>
          <w:rFonts w:ascii="Times New Roman" w:eastAsia="Calibri" w:hAnsi="Times New Roman" w:cs="Times New Roman"/>
        </w:rPr>
        <w:t>indeksaciji</w:t>
      </w:r>
      <w:proofErr w:type="spellEnd"/>
      <w:r w:rsidRPr="00371582">
        <w:rPr>
          <w:rFonts w:ascii="Times New Roman" w:eastAsia="Calibri" w:hAnsi="Times New Roman" w:cs="Times New Roman"/>
        </w:rPr>
        <w:t xml:space="preserve">, izmjena cijene od strane vijeća ne smije kršiti ugovorne obveze ili prava treće strane bez prethodne provjere i eventualnih aneksa.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Odluka utječe na prava i obveze korisnika (ugovorna kazna, naknada) pa je važno da je tekst jasno i jednoznačno formuliran, a obračuni standardizirani i transparentni — inače ukazani rizik upravnih/parničnih sporova.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Očitovanje na opasku o ovlastima i pravne valjanosti: </w:t>
      </w:r>
    </w:p>
    <w:p w:rsidR="004E4C54" w:rsidRPr="00371582" w:rsidRDefault="004E4C54" w:rsidP="004E4C5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Općina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ne vidi pravnu svrhu pozivanja na članak 66. Zakona o gospodarenju otpadom i Statut Općine;</w:t>
      </w:r>
    </w:p>
    <w:p w:rsidR="004E4C54" w:rsidRPr="00371582" w:rsidRDefault="004E4C54" w:rsidP="004E4C5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Pozivanje na provjeru sa izvornom Odlukom objavljenom u SG Općine broj 1/21 ne upućuje se na nepravilnosti, te se stoga podnositelja primjedbe upućuje na članke 30. – 35. izvorne Odluke o načinu pružanja javne usluge skupljanja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donesenoj dana 31.01.2022. godine na 6. sjednici Općinskog vijeća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(SG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broj 1/22);</w:t>
      </w:r>
    </w:p>
    <w:p w:rsidR="004E4C54" w:rsidRPr="00371582" w:rsidRDefault="004E4C54" w:rsidP="004E4C5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da izmjena cijene od strane vijeća ne smije kršiti ugovorne obveze ili prava treće strane bez prethodne provjere i eventualnih aneksa nema pravnu svrhu, jer se navedenom opaskom ništa ne predlaže, ne poziva se na konkretnu odredbu ili normu, i njen izvor;</w:t>
      </w:r>
    </w:p>
    <w:p w:rsidR="004E4C54" w:rsidRPr="00371582" w:rsidRDefault="004E4C54" w:rsidP="004E4C5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Opaska da odluka utječe na prava i obveze korisnika pa da je važno da je tekst jasno i jednoznačno formuliran….je samo opaska informativnog karaktera koja nema uporište u bilo kojem pravnom izvoru, tako može biti i ne mora, dok je nacrt odluke standardiziran i oblikovan poštujući zakonske odredbe o gospodarenju otpadom i statutarne odredbe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71582">
        <w:rPr>
          <w:rFonts w:ascii="Times New Roman" w:eastAsia="Calibri" w:hAnsi="Times New Roman" w:cs="Times New Roman"/>
          <w:b/>
          <w:bCs/>
        </w:rPr>
        <w:lastRenderedPageBreak/>
        <w:t xml:space="preserve">Pravne nepravilnosti/propusti u tekstu koje treba ispraviti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Nedostaje popunjeni podatak o broju sjednice i datumu donošenja u zaglavlju (važno za formalnu valjanost).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U članku 1. nedostaje početni navodnik prije iznosa: piše: zamjenjuje se tekstom: 5,80 </w:t>
      </w:r>
      <w:proofErr w:type="spellStart"/>
      <w:r w:rsidRPr="00371582">
        <w:rPr>
          <w:rFonts w:ascii="Times New Roman" w:eastAsia="Calibri" w:hAnsi="Times New Roman" w:cs="Times New Roman"/>
        </w:rPr>
        <w:t>eura..</w:t>
      </w:r>
      <w:proofErr w:type="spellEnd"/>
      <w:r w:rsidRPr="00371582">
        <w:rPr>
          <w:rFonts w:ascii="Times New Roman" w:eastAsia="Calibri" w:hAnsi="Times New Roman" w:cs="Times New Roman"/>
        </w:rPr>
        <w:t xml:space="preserve">. (treba “ „5,80 </w:t>
      </w:r>
      <w:proofErr w:type="spellStart"/>
      <w:r w:rsidRPr="00371582">
        <w:rPr>
          <w:rFonts w:ascii="Times New Roman" w:eastAsia="Calibri" w:hAnsi="Times New Roman" w:cs="Times New Roman"/>
        </w:rPr>
        <w:t>eura..</w:t>
      </w:r>
      <w:proofErr w:type="spellEnd"/>
      <w:r w:rsidRPr="00371582">
        <w:rPr>
          <w:rFonts w:ascii="Times New Roman" w:eastAsia="Calibri" w:hAnsi="Times New Roman" w:cs="Times New Roman"/>
        </w:rPr>
        <w:t xml:space="preserve">.“).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Nigdje nije jasno naznačeno na koji datum se primjenjuju tečajne vrijednosti (korišteni tečaj EUR/HRK). Ako se cijene sada izražavaju u eurima, potrebno je pravno obrazložiti prelazak s HRK na EUR i osigurati usklađenost s nacionalnim propisima o valuti u javnim dokumentima.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PDV: u tekstu navodite cijenu bez PDV-a i s PDV-om — provjeriti primjenjivi PDV % i metodologiju izračuna. U tablici su istaknute i vrijednosti u €; provjeriti aritmetiku (vidim da nekad PDV iznosi točno 25% — to treba eksplicitno navesti).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U članku 2. definicija “ugovorna kazna” je dobra, ali treba navesti postupak naplate, rok za očitovanje korisnika i pravo prigovora/žalbe — bez toga postoji rizik arbitrarne naplate.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Neke stavke u tablici sadrže nedovršene polja (npr. mjesto gdje piše “–” ili prazno). Potrebno je konzistentno navesti sve kategorije korisnika i sve volumene.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Jezično: koristi se mješovito mjesto decimalnih točaka i zareza (3,05€ i 3.05€ nisu ujednačeni) — u hrvatskom tekstu standard je decimalni zarez. Prilagodite interpunkciju i razmake (prije € nema razmaka ili se koristi </w:t>
      </w:r>
      <w:proofErr w:type="spellStart"/>
      <w:r w:rsidRPr="00371582">
        <w:rPr>
          <w:rFonts w:ascii="Times New Roman" w:eastAsia="Calibri" w:hAnsi="Times New Roman" w:cs="Times New Roman"/>
        </w:rPr>
        <w:t>neprelomivi</w:t>
      </w:r>
      <w:proofErr w:type="spellEnd"/>
      <w:r w:rsidRPr="00371582">
        <w:rPr>
          <w:rFonts w:ascii="Times New Roman" w:eastAsia="Calibri" w:hAnsi="Times New Roman" w:cs="Times New Roman"/>
        </w:rPr>
        <w:t xml:space="preserve"> razmak prema stilu).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Napomena o objavi: pravilno navedite datum stupanja na snagu (8 dana od objave) i jasno definirajte datum objave.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Očitovanje na opasku o pravnim nepravilnostima / propustima u tekstu koje treba ispraviti: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Nedostatnost popunjenog podatka o broju sjednice i datumu donošenja u zaglavlju, kako je podnositelj naveo da je važno za formalnu valjanost – naime, obzirom da se radi o radnom materijalu i da je isti podložan promjenama na sjednici općinskog vijeća, u praksi je uobičajeno da se broj i datum održane sjednice ne piše na istome, što bi podnositelju trebalo biti poznato, obzirom na broj opaski koje je dao u primjedbi</w:t>
      </w:r>
    </w:p>
    <w:p w:rsidR="004E4C54" w:rsidRPr="00371582" w:rsidRDefault="004E4C54" w:rsidP="004E4C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Ne navođenje početnog navodnika prije iznosa ne utječe na pravnu valjanost, već se radi o stilizaciji nacrta Odluke, a obzirom da se radi o radnom materijalu, prije objave će se navedeno dodati;</w:t>
      </w:r>
    </w:p>
    <w:p w:rsidR="004E4C54" w:rsidRPr="00371582" w:rsidRDefault="004E4C54" w:rsidP="004E4C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Ne navođenje datuma o primjeni tečajne vrijednosti ne utječe na valjanost donošenja Odluke prema samom nacrtu, jer je člankom 7. Zakona o uvođenju eura kao službene valute u Republici Hrvatskoj (''Narodne novine'' broj 57/22, 88/22) navedeno da zbog preračunavanja potrošač ne smije biti u financijski nepovoljnijem položaju nego što bi bio da euro nije uveden, što u ovom slučaju i nije;</w:t>
      </w:r>
    </w:p>
    <w:p w:rsidR="004E4C54" w:rsidRPr="00371582" w:rsidRDefault="004E4C54" w:rsidP="004E4C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Opasku o provjeri navoda o PDV-u nije potrebno posebno obrazlagati jer se primjenjuje PDV propisan Zakonom o PDV-u, a sama opaska o provjeri ne upućuje na pravnu i zakonsku nepravilnost;</w:t>
      </w:r>
    </w:p>
    <w:p w:rsidR="004E4C54" w:rsidRPr="00371582" w:rsidRDefault="004E4C54" w:rsidP="004E4C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Opaska da je ''ugovorna kazna'' dobra, ali da treba navesti postupak naplate je potpuno nepotrebna jer se ovdje ne mijenja dio odluke o navedenoj ugovornoj kazne, čije utvrđenje i postupak naplate je jasno definiran Odlukom o načinu pružanja javne usluge skupljanja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donesenoj dana 31.01.2022. godine na 6. sjednici Općinskog vijeća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;</w:t>
      </w:r>
    </w:p>
    <w:p w:rsidR="004E4C54" w:rsidRPr="00371582" w:rsidRDefault="004E4C54" w:rsidP="004E4C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da neke stavke u tablici sadrže nedovršene polja je jezično neispravna i pravno neutemeljena, jer bi trebalo pisati ''nedovršena polja'', pa istu nije potrebno posebno obrazlagati, pogotovo i iz razloga jer se opaskom ne daje prijedlog, već se pogrešno lingvistički izražava reda radi;</w:t>
      </w:r>
    </w:p>
    <w:p w:rsidR="004E4C54" w:rsidRPr="00371582" w:rsidRDefault="004E4C54" w:rsidP="004E4C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o pravilnom navođenju dana objave je ''tipfeler'' koji je radni materijal i koji će se ispraviti prije same objave.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71582">
        <w:rPr>
          <w:rFonts w:ascii="Times New Roman" w:eastAsia="Calibri" w:hAnsi="Times New Roman" w:cs="Times New Roman"/>
          <w:b/>
          <w:bCs/>
        </w:rPr>
        <w:t xml:space="preserve">Preporuke za poboljšanje plana u interesu građana (kratko, praktično)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Transparentnost troškova: u odluci/obrazloženju priložiti detaljan razrez troškova koji čine osnovu za povećanje (prikupljanje, transport, obrada, amortizacija vozila, PDV). To povećava prihvaćanje kod građana.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Postepeno uvođenje: razmisliti o prijelaznom razdoblju (npr. povećanje u 2 faze) kako bi se ublažio udar na kućanstva.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Socijalne mjere/iznimke: uvesti izuzeća/umanjenja za ranjive skupine (niža primanja, socijalni programi) i jasno definirati kriterije.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Jasna komunikacija i prigovori: osigurati jednostavan način obavijesti korisnika o promjeni cijene, preračunima i načinu prigovora te rokove za rješavanje prigovora.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Mehanizmi kontrole kvalitete: ugovor s davateljem usluge treba sadržavati KPI (učestalost odvoza, kašnjenja, čišćenje lokacija) i financijske posljedice za neispunjavanje, te javno objavljivanje izvještaja. • Poticaji za odvajanje otpada: smanjiti naknadu ili uvesti bonuse za kućanstva koja pravilno odvajaju </w:t>
      </w:r>
      <w:proofErr w:type="spellStart"/>
      <w:r w:rsidRPr="00371582">
        <w:rPr>
          <w:rFonts w:ascii="Times New Roman" w:eastAsia="Calibri" w:hAnsi="Times New Roman" w:cs="Times New Roman"/>
        </w:rPr>
        <w:t>reciklabilni</w:t>
      </w:r>
      <w:proofErr w:type="spellEnd"/>
      <w:r w:rsidRPr="00371582">
        <w:rPr>
          <w:rFonts w:ascii="Times New Roman" w:eastAsia="Calibri" w:hAnsi="Times New Roman" w:cs="Times New Roman"/>
        </w:rPr>
        <w:t xml:space="preserve"> otpad — time se smanjuju količine miješanog otpada i troškovi.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Jasnoća kazni: propisati postupak i rokove prije naplate ugovorne kazne (obavijest, rok za otklon, mogućnost žalbe) kako bi se izbjegla arbitrarna naplata i sudski sporovi.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Praćenje efekata: predvidjeti reviziju cijena i učinka nakon 12 mjeseci s javnim izvješćem i mogućnošću korekcije.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Očitovanje na opasku preporuka za poboljšanje plana u interesu građana (kratko, praktično):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o transparentnosti troškova nije pravno utemeljena jer navedeno nije predmet nacrta Odluke, jer se isto utvrđuje prije donošenja izvorne Odluke, a ne i kod izmjena i dopuna Odluke, što ovdje nije slučaj;</w:t>
      </w:r>
    </w:p>
    <w:p w:rsidR="004E4C54" w:rsidRPr="00371582" w:rsidRDefault="004E4C54" w:rsidP="004E4C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o postepenom uvođenju i razmišljanju o prijelaznom razdoblju kako bi se ublažio udar na kućanstva je lingvistički i jezično neispravno navedena, jer se u hrvatskom jeziku koristi riječ ''postupno'' dok je riječ postepeno srbizam koji neki rado koriste, uključujući i umjetnu inteligenciju. Ali bez obzira na korištenje riječi koji ne pripadaju hrvatskom jeziku, opaska da se razmišlja o prijelaznom razdoblju ne upućuje na konkretnu mjeru koja je pogrešna, stoga je neutemeljena;</w:t>
      </w:r>
    </w:p>
    <w:p w:rsidR="004E4C54" w:rsidRPr="00371582" w:rsidRDefault="004E4C54" w:rsidP="004E4C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o socijalnim mjerama / iznimkama nije bila predmet nacrta ove Odluke, stoga je i neprimjenjiva, te o istoj nije potrebno posebno raspravljati i obrazlagati ju, ili ju prihvaćati;</w:t>
      </w:r>
    </w:p>
    <w:p w:rsidR="004E4C54" w:rsidRPr="00371582" w:rsidRDefault="004E4C54" w:rsidP="004E4C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Opaska o jasnoj komunikaciji i prigovorima i mehanizmima kontrole je dio izvorne Odluke o načinu pružanja javne usluge skupljanja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donesenoj dana 31.01.2022. godine na 6. sjednici Općinskog vijeća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, pa se predlagatelj upućuje na čitanje iste;</w:t>
      </w:r>
    </w:p>
    <w:p w:rsidR="004E4C54" w:rsidRPr="00371582" w:rsidRDefault="004E4C54" w:rsidP="004E4C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o poticajima za odvajane otpada nije bila predmet nacrta Odluke, i nepotrebno je obrazlagati ju;</w:t>
      </w:r>
    </w:p>
    <w:p w:rsidR="004E4C54" w:rsidRPr="00371582" w:rsidRDefault="004E4C54" w:rsidP="004E4C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Opaska o jasnoći kazni je sastavni dio izvorne Odluke o načinu pružanja javne usluge skupljanja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donesenoj dana 31.01.2022. godine na 6. sjednici Općinskog vijeća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, pa se predlagatelj upućuje na čitanje iste;</w:t>
      </w:r>
    </w:p>
    <w:p w:rsidR="004E4C54" w:rsidRPr="00371582" w:rsidRDefault="004E4C54" w:rsidP="004E4C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o praćenju efekata nije bila predmet nacrta Odluke, i nepotrebno je obrazlagati ju.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71582">
        <w:rPr>
          <w:rFonts w:ascii="Times New Roman" w:eastAsia="Calibri" w:hAnsi="Times New Roman" w:cs="Times New Roman"/>
          <w:b/>
          <w:bCs/>
        </w:rPr>
        <w:t xml:space="preserve">Preporučene tehničke i oblikovne izmjene (kratko)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Ispraviti sve tipografske greške, uskladiti decimalni znak s hrvatskim standardom (zarez), ujednačiti format eura (2 decimalna mjesta, razmak prije €).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• Dopuniti tabelu jasnim zaglavljima: RBR, Opis povrede, Volumen spremnika, Cijena bez PDV, PDV (%), Cijena s PDV-om.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lastRenderedPageBreak/>
        <w:t xml:space="preserve">• Dodati klauzulu o datumu primjene i prijelaznim odredbama (npr. primjena na račune izdane nakon datuma stupanja na snagu).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• Uvrstiti odredbu o pravu prigovora i postupku naplate/otpisu.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Očitovanje na opasku o preporučenim tehničkim i oblikovanim izmjenama (kratko):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o ispravljanju svih tipografskih grešaka i usklađivanju decimalnih znakova s hrvatskim standardom i dr. je neutemeljena, jer se u ovom slučaju radi o radnom materijalu, i isti će biti usklađen prije objavljivanja u službenom glasniku, pogotovo i iz razloga što predlagatelj koristi zastarjele i arhaične izraze, a sam se pritom poziva na ispravke;</w:t>
      </w:r>
    </w:p>
    <w:p w:rsidR="004E4C54" w:rsidRPr="00371582" w:rsidRDefault="004E4C54" w:rsidP="004E4C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Opaska da se dopuni tabela jasnim zaglavljima i drugim nema smisla, jer se u hrvatskom rječniku koristi izraz ''tablica'', dok ostali navodi ne stoje, pa se predlagatelj upućuje na ponovno čitanje;</w:t>
      </w:r>
    </w:p>
    <w:p w:rsidR="004E4C54" w:rsidRPr="00371582" w:rsidRDefault="004E4C54" w:rsidP="004E4C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Opaska o dodavanju klauzule o datumu primjene i prijelaznim odredbama nije pravno utemeljena pogotovo iz razloga što se ovom Odlukom mijenja samo dio izvorne Odluke o načinu pružanja javne usluge skupljanja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donesenoj dana 31.01.2022. godine na 6. sjednici Općinskog vijeća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, pa se predlagatelja upućuje na čitanje članaka 44. – 47. navedene Odluke,</w:t>
      </w:r>
    </w:p>
    <w:p w:rsidR="004E4C54" w:rsidRPr="00371582" w:rsidRDefault="004E4C54" w:rsidP="004E4C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Opaska o tome da se uvrsti odredba o pravu prigovora i postupku naplate / otpisu nije pravno utemeljena pogotovo iz razloga što se ovom Odlukom mijenja samo dio izvorne Odluke o načinu pružanja javne usluge skupljanja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donesenoj dana 31.01.2022. godine na 6. sjednici Općinskog vijeća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, pa se predlagatelja upućuje na čitanje članka 42. navedene Odluke.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>Primjedbi  od strane drugih predlagatelja nije bilo.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Sukladno članku 11. stavku 4. Zakona o pravu na pristup informacijama (''Narodne novine'' broj 25/13, 85/15 i 69/22), Jedinstveni upravni odjel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je proveo javno savjetovanje o nacrtu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, te je izradio ovo Izvješće o provedenoj javnom savjetovanju o nacrtu Odluke o izmjeni Odluke o načinu pružanja javne usluge sakupljanja komunalnog otpada na području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>, te ga stavlja na znanje zainteresiranoj javnosti.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 xml:space="preserve">Izvješće će se objaviti na internetskim stranicama Općine </w:t>
      </w:r>
      <w:proofErr w:type="spellStart"/>
      <w:r w:rsidRPr="00371582">
        <w:rPr>
          <w:rFonts w:ascii="Times New Roman" w:eastAsia="Calibri" w:hAnsi="Times New Roman" w:cs="Times New Roman"/>
        </w:rPr>
        <w:t>Viškovci</w:t>
      </w:r>
      <w:proofErr w:type="spellEnd"/>
      <w:r w:rsidRPr="00371582">
        <w:rPr>
          <w:rFonts w:ascii="Times New Roman" w:eastAsia="Calibri" w:hAnsi="Times New Roman" w:cs="Times New Roman"/>
        </w:rPr>
        <w:t xml:space="preserve"> </w:t>
      </w:r>
      <w:hyperlink r:id="rId10" w:history="1">
        <w:r w:rsidRPr="00371582">
          <w:rPr>
            <w:rFonts w:ascii="Times New Roman" w:eastAsia="Calibri" w:hAnsi="Times New Roman" w:cs="Times New Roman"/>
            <w:color w:val="0563C1"/>
            <w:u w:val="single"/>
          </w:rPr>
          <w:t>www.viskovci.hr</w:t>
        </w:r>
      </w:hyperlink>
      <w:r w:rsidRPr="00371582">
        <w:rPr>
          <w:rFonts w:ascii="Times New Roman" w:eastAsia="Calibri" w:hAnsi="Times New Roman" w:cs="Times New Roman"/>
        </w:rPr>
        <w:t xml:space="preserve"> . 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  <w:t xml:space="preserve">    Pročelnica</w:t>
      </w: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4C54" w:rsidRPr="00371582" w:rsidRDefault="004E4C54" w:rsidP="004E4C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</w:r>
      <w:r w:rsidRPr="00371582">
        <w:rPr>
          <w:rFonts w:ascii="Times New Roman" w:eastAsia="Calibri" w:hAnsi="Times New Roman" w:cs="Times New Roman"/>
        </w:rPr>
        <w:tab/>
        <w:t xml:space="preserve">Jasmina </w:t>
      </w:r>
      <w:proofErr w:type="spellStart"/>
      <w:r w:rsidRPr="00371582">
        <w:rPr>
          <w:rFonts w:ascii="Times New Roman" w:eastAsia="Calibri" w:hAnsi="Times New Roman" w:cs="Times New Roman"/>
        </w:rPr>
        <w:t>Galeković</w:t>
      </w:r>
      <w:proofErr w:type="spellEnd"/>
      <w:r w:rsidRPr="00371582">
        <w:rPr>
          <w:rFonts w:ascii="Times New Roman" w:eastAsia="Calibri" w:hAnsi="Times New Roman" w:cs="Times New Roman"/>
        </w:rPr>
        <w:t>, v.r.</w:t>
      </w:r>
    </w:p>
    <w:p w:rsidR="004E4C54" w:rsidRPr="00750994" w:rsidRDefault="004E4C54" w:rsidP="004E4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9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013-02/26-1/01</w:t>
      </w:r>
    </w:p>
    <w:p w:rsidR="004E4C54" w:rsidRPr="00750994" w:rsidRDefault="004E4C54" w:rsidP="004E4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099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2158-40-03-01-26-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:rsidR="004E4C54" w:rsidRPr="00750994" w:rsidRDefault="004E4C54" w:rsidP="004E4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50994">
        <w:rPr>
          <w:rFonts w:ascii="Times New Roman" w:eastAsia="Times New Roman" w:hAnsi="Times New Roman" w:cs="Times New Roman"/>
          <w:sz w:val="24"/>
          <w:szCs w:val="24"/>
          <w:lang w:eastAsia="hr-HR"/>
        </w:rPr>
        <w:t>Viškovci</w:t>
      </w:r>
      <w:proofErr w:type="spellEnd"/>
      <w:r w:rsidRPr="00750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21. svibnja</w:t>
      </w:r>
      <w:r w:rsidRPr="00750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godine</w:t>
      </w:r>
    </w:p>
    <w:p w:rsidR="004E4C54" w:rsidRDefault="004E4C54" w:rsidP="004E4C54"/>
    <w:p w:rsidR="00A04008" w:rsidRDefault="00A04008">
      <w:bookmarkStart w:id="2" w:name="_GoBack"/>
      <w:bookmarkEnd w:id="2"/>
    </w:p>
    <w:sectPr w:rsidR="00A0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DA0"/>
    <w:multiLevelType w:val="hybridMultilevel"/>
    <w:tmpl w:val="C63C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7F1"/>
    <w:multiLevelType w:val="hybridMultilevel"/>
    <w:tmpl w:val="018A61B8"/>
    <w:lvl w:ilvl="0" w:tplc="F8DE11E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02626B4"/>
    <w:multiLevelType w:val="hybridMultilevel"/>
    <w:tmpl w:val="144AAB10"/>
    <w:lvl w:ilvl="0" w:tplc="350C589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DC3DB5"/>
    <w:multiLevelType w:val="hybridMultilevel"/>
    <w:tmpl w:val="1B0AA420"/>
    <w:lvl w:ilvl="0" w:tplc="158E53E0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54"/>
    <w:rsid w:val="004E4C54"/>
    <w:rsid w:val="00A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skovci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akon.hr/cms.htm?id=587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877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s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kovci.hr/savjetovanje-sa-zainteresiranom-javnoscu-nacrt-odluke-o-izmjeni-odluke-o-nacinu-pruzanja-javne-usluge-sakupljanja-komunalnog-otpada-na-podrucju-opcine-viskov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2026-05-21T11:22:00Z</dcterms:created>
  <dcterms:modified xsi:type="dcterms:W3CDTF">2026-05-21T11:22:00Z</dcterms:modified>
</cp:coreProperties>
</file>