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4C" w:rsidRDefault="00E4564C" w:rsidP="00E4564C">
      <w:pPr>
        <w:suppressAutoHyphens/>
        <w:ind w:right="5292"/>
        <w:rPr>
          <w:b/>
          <w:bCs/>
          <w:lang w:val="de-DE" w:eastAsia="ar-SA"/>
        </w:rPr>
      </w:pPr>
      <w:r>
        <w:rPr>
          <w:b/>
          <w:bCs/>
          <w:lang w:val="de-DE" w:eastAsia="ar-SA"/>
        </w:rPr>
        <w:t xml:space="preserve">     </w:t>
      </w:r>
      <w:r w:rsidR="000650E4">
        <w:rPr>
          <w:b/>
          <w:bCs/>
          <w:noProof/>
        </w:rPr>
        <w:drawing>
          <wp:inline distT="0" distB="0" distL="0" distR="0">
            <wp:extent cx="362310" cy="353683"/>
            <wp:effectExtent l="0" t="0" r="0" b="8890"/>
            <wp:docPr id="2" name="Slika 2" descr="C:\Users\korisnik\Desktop\grb 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grb r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42" cy="3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E4" w:rsidRDefault="000650E4" w:rsidP="00AF4D78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  <w:r>
        <w:rPr>
          <w:b/>
          <w:bCs/>
          <w:lang w:val="de-DE" w:eastAsia="ar-SA"/>
        </w:rPr>
        <w:t>REPUBLIKA HRVATSKA</w:t>
      </w:r>
    </w:p>
    <w:p w:rsidR="00AF4D78" w:rsidRDefault="00AF4D78" w:rsidP="00AF4D78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  <w:r>
        <w:rPr>
          <w:b/>
          <w:bCs/>
          <w:lang w:val="de-DE" w:eastAsia="ar-SA"/>
        </w:rPr>
        <w:t>OSJEČKO-BARANJSKA ŽUPANIJA</w:t>
      </w:r>
    </w:p>
    <w:p w:rsidR="00AF4D78" w:rsidRDefault="00AF4D78" w:rsidP="00AF4D78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  <w:r>
        <w:rPr>
          <w:b/>
          <w:bCs/>
          <w:lang w:val="de-DE" w:eastAsia="ar-SA"/>
        </w:rPr>
        <w:t>OPĆINA VIŠKOVCI</w:t>
      </w:r>
    </w:p>
    <w:p w:rsidR="00AF4D78" w:rsidRDefault="00AF4D78" w:rsidP="00AF4D78">
      <w:pPr>
        <w:tabs>
          <w:tab w:val="left" w:pos="9072"/>
        </w:tabs>
        <w:suppressAutoHyphens/>
        <w:ind w:right="2976"/>
        <w:rPr>
          <w:b/>
          <w:bCs/>
          <w:lang w:val="de-DE" w:eastAsia="ar-SA"/>
        </w:rPr>
      </w:pPr>
    </w:p>
    <w:p w:rsidR="000650E4" w:rsidRDefault="000650E4" w:rsidP="000650E4">
      <w:r w:rsidRPr="00AF4D78">
        <w:rPr>
          <w:b/>
        </w:rPr>
        <w:t>KLASA</w:t>
      </w:r>
      <w:r>
        <w:t>:</w:t>
      </w:r>
      <w:bookmarkStart w:id="0" w:name="Klasa"/>
      <w:r>
        <w:t xml:space="preserve"> </w:t>
      </w:r>
      <w:bookmarkEnd w:id="0"/>
      <w:r>
        <w:t>112-03/20-01/03</w:t>
      </w:r>
    </w:p>
    <w:p w:rsidR="000650E4" w:rsidRDefault="000650E4" w:rsidP="000650E4">
      <w:r w:rsidRPr="00AF4D78">
        <w:rPr>
          <w:b/>
        </w:rPr>
        <w:t>URBROJ</w:t>
      </w:r>
      <w:r>
        <w:t>:</w:t>
      </w:r>
      <w:bookmarkStart w:id="1" w:name="Urbroj"/>
      <w:r>
        <w:t xml:space="preserve"> </w:t>
      </w:r>
      <w:bookmarkEnd w:id="1"/>
      <w:r w:rsidR="00AF4D78">
        <w:t>2121/10-03-01/20-06</w:t>
      </w:r>
    </w:p>
    <w:p w:rsidR="000650E4" w:rsidRDefault="00AF4D78" w:rsidP="000650E4">
      <w:proofErr w:type="spellStart"/>
      <w:r>
        <w:t>Viškovci</w:t>
      </w:r>
      <w:proofErr w:type="spellEnd"/>
      <w:r>
        <w:t>, 20</w:t>
      </w:r>
      <w:r w:rsidR="000650E4">
        <w:t>. listopada 2020. godine</w:t>
      </w:r>
    </w:p>
    <w:p w:rsidR="000650E4" w:rsidRDefault="000650E4" w:rsidP="000650E4"/>
    <w:p w:rsidR="000650E4" w:rsidRDefault="000650E4" w:rsidP="000650E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I UPUTE KANDIDATIMA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50E4" w:rsidRDefault="000650E4" w:rsidP="00AF4D78">
      <w:pPr>
        <w:pStyle w:val="Bezproreda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stranicama Hrvatskog zavoda za zapošljavanje</w:t>
      </w:r>
      <w:r w:rsidR="00AF4D78">
        <w:rPr>
          <w:rFonts w:ascii="Times New Roman" w:hAnsi="Times New Roman"/>
          <w:sz w:val="24"/>
          <w:szCs w:val="24"/>
        </w:rPr>
        <w:t xml:space="preserve"> i službenoj web stranici Općine </w:t>
      </w:r>
      <w:proofErr w:type="spellStart"/>
      <w:r w:rsidR="00AF4D78">
        <w:rPr>
          <w:rFonts w:ascii="Times New Roman" w:hAnsi="Times New Roman"/>
          <w:sz w:val="24"/>
          <w:szCs w:val="24"/>
        </w:rPr>
        <w:t>Viškovci</w:t>
      </w:r>
      <w:proofErr w:type="spellEnd"/>
      <w:r>
        <w:rPr>
          <w:rFonts w:ascii="Times New Roman" w:hAnsi="Times New Roman"/>
          <w:sz w:val="24"/>
          <w:szCs w:val="24"/>
        </w:rPr>
        <w:t>, objavljen je oglas za prijam u službu na određeno vrijeme na radno mjesto</w:t>
      </w:r>
      <w:r w:rsidR="00AF4D78">
        <w:rPr>
          <w:rFonts w:ascii="Times New Roman" w:hAnsi="Times New Roman"/>
          <w:sz w:val="24"/>
          <w:szCs w:val="24"/>
        </w:rPr>
        <w:t xml:space="preserve"> PROJEKT KOORDINATOR I FINANCIJSKI ADMINISTRATOR projekta „Širenje mreže socijalnih usluga u zajednici – faza I“ – Aktivna starost u Općini </w:t>
      </w:r>
      <w:proofErr w:type="spellStart"/>
      <w:r w:rsidR="00AF4D78">
        <w:rPr>
          <w:rFonts w:ascii="Times New Roman" w:hAnsi="Times New Roman"/>
          <w:sz w:val="24"/>
          <w:szCs w:val="24"/>
        </w:rPr>
        <w:t>Viškovci</w:t>
      </w:r>
      <w:proofErr w:type="spellEnd"/>
      <w:r w:rsidR="00AF4D78">
        <w:rPr>
          <w:rFonts w:ascii="Times New Roman" w:hAnsi="Times New Roman"/>
          <w:sz w:val="24"/>
          <w:szCs w:val="24"/>
        </w:rPr>
        <w:t xml:space="preserve"> UP.02.2.2.06.0394</w:t>
      </w:r>
      <w:r>
        <w:rPr>
          <w:rFonts w:ascii="Times New Roman" w:hAnsi="Times New Roman"/>
          <w:sz w:val="24"/>
          <w:szCs w:val="24"/>
        </w:rPr>
        <w:t>, 1</w:t>
      </w:r>
      <w:r w:rsidR="00AF4D78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, te se daju upute kako slijedi: </w:t>
      </w:r>
    </w:p>
    <w:p w:rsidR="00AF4D78" w:rsidRDefault="00AF4D78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na </w:t>
      </w:r>
      <w:r w:rsidR="00651FF7">
        <w:rPr>
          <w:rFonts w:ascii="Times New Roman" w:hAnsi="Times New Roman"/>
          <w:sz w:val="24"/>
          <w:szCs w:val="24"/>
        </w:rPr>
        <w:t>oglas podnose se zaključno sa 28. listopada</w:t>
      </w:r>
      <w:r>
        <w:rPr>
          <w:rFonts w:ascii="Times New Roman" w:hAnsi="Times New Roman"/>
          <w:sz w:val="24"/>
          <w:szCs w:val="24"/>
        </w:rPr>
        <w:t xml:space="preserve"> 2020. godine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Izrazi koji se koriste u ovoj obavijesti za osobe u muškom rodu uporabljeni su neutralno i odnose se na muške i ženske osobe.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51FF7" w:rsidRDefault="000650E4" w:rsidP="000650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poslova radnog mjesta –</w:t>
      </w:r>
      <w:r w:rsidR="00651FF7">
        <w:rPr>
          <w:rFonts w:ascii="Times New Roman" w:hAnsi="Times New Roman"/>
          <w:b/>
          <w:sz w:val="24"/>
          <w:szCs w:val="24"/>
        </w:rPr>
        <w:t xml:space="preserve">  Projekt koordinator i financijski administrator</w:t>
      </w:r>
    </w:p>
    <w:p w:rsidR="000650E4" w:rsidRDefault="000650E4" w:rsidP="000650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koordinacija projektnih aktivnosti i ciljane skupine, </w:t>
      </w:r>
    </w:p>
    <w:p w:rsidR="000650E4" w:rsidRDefault="000650E4" w:rsidP="000650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prikupljanje osobnih podataka ciljane skupine, </w:t>
      </w:r>
    </w:p>
    <w:p w:rsidR="000650E4" w:rsidRDefault="000650E4" w:rsidP="000650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izvještavanje, </w:t>
      </w:r>
    </w:p>
    <w:p w:rsidR="000650E4" w:rsidRDefault="000650E4" w:rsidP="000650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praćenje financijske provedbe i sastavljanje financijskih izvješća, </w:t>
      </w:r>
    </w:p>
    <w:p w:rsidR="000650E4" w:rsidRDefault="000650E4" w:rsidP="000650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te izvršavanje ostalih poslova po potrebi vezanih uz provedbu projekta.</w:t>
      </w:r>
    </w:p>
    <w:p w:rsidR="007A40D7" w:rsidRDefault="007A40D7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650E4" w:rsidRDefault="000650E4" w:rsidP="000650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Podaci o plaći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</w:t>
      </w:r>
      <w:r w:rsidR="007A40D7">
        <w:rPr>
          <w:rFonts w:ascii="Times New Roman" w:hAnsi="Times New Roman"/>
          <w:sz w:val="24"/>
          <w:szCs w:val="24"/>
        </w:rPr>
        <w:t>nog staža. Odlukom o  koeficijentima</w:t>
      </w:r>
      <w:r>
        <w:rPr>
          <w:rFonts w:ascii="Times New Roman" w:hAnsi="Times New Roman"/>
          <w:sz w:val="24"/>
          <w:szCs w:val="24"/>
        </w:rPr>
        <w:t xml:space="preserve"> za obračun plaće službenika</w:t>
      </w:r>
      <w:r w:rsidR="007A40D7">
        <w:rPr>
          <w:rFonts w:ascii="Times New Roman" w:hAnsi="Times New Roman"/>
          <w:sz w:val="24"/>
          <w:szCs w:val="24"/>
        </w:rPr>
        <w:t xml:space="preserve"> i namještenika</w:t>
      </w:r>
      <w:r>
        <w:rPr>
          <w:rFonts w:ascii="Times New Roman" w:hAnsi="Times New Roman"/>
          <w:sz w:val="24"/>
          <w:szCs w:val="24"/>
        </w:rPr>
        <w:t xml:space="preserve"> u Jedinstv</w:t>
      </w:r>
      <w:r w:rsidR="007A40D7">
        <w:rPr>
          <w:rFonts w:ascii="Times New Roman" w:hAnsi="Times New Roman"/>
          <w:sz w:val="24"/>
          <w:szCs w:val="24"/>
        </w:rPr>
        <w:t xml:space="preserve">enom upravnom odjelu Općine </w:t>
      </w:r>
      <w:proofErr w:type="spellStart"/>
      <w:r w:rsidR="007A40D7">
        <w:rPr>
          <w:rFonts w:ascii="Times New Roman" w:hAnsi="Times New Roman"/>
          <w:sz w:val="24"/>
          <w:szCs w:val="24"/>
        </w:rPr>
        <w:t>Viškovci</w:t>
      </w:r>
      <w:proofErr w:type="spellEnd"/>
      <w:r w:rsidR="007A40D7">
        <w:rPr>
          <w:rFonts w:ascii="Times New Roman" w:hAnsi="Times New Roman"/>
          <w:sz w:val="24"/>
          <w:szCs w:val="24"/>
        </w:rPr>
        <w:t xml:space="preserve"> («Službeni glasnik Općine </w:t>
      </w:r>
      <w:proofErr w:type="spellStart"/>
      <w:r w:rsidR="007A40D7">
        <w:rPr>
          <w:rFonts w:ascii="Times New Roman" w:hAnsi="Times New Roman"/>
          <w:sz w:val="24"/>
          <w:szCs w:val="24"/>
        </w:rPr>
        <w:t>Viškovci</w:t>
      </w:r>
      <w:proofErr w:type="spellEnd"/>
      <w:r w:rsidR="007A40D7">
        <w:rPr>
          <w:rFonts w:ascii="Times New Roman" w:hAnsi="Times New Roman"/>
          <w:sz w:val="24"/>
          <w:szCs w:val="24"/>
        </w:rPr>
        <w:t>» br. 10/19, 03/20 i 06/20</w:t>
      </w:r>
      <w:r>
        <w:rPr>
          <w:rFonts w:ascii="Times New Roman" w:hAnsi="Times New Roman"/>
          <w:sz w:val="24"/>
          <w:szCs w:val="24"/>
        </w:rPr>
        <w:t xml:space="preserve">) za radno mjesto </w:t>
      </w:r>
      <w:r w:rsidR="007A40D7">
        <w:rPr>
          <w:rFonts w:ascii="Times New Roman" w:hAnsi="Times New Roman"/>
          <w:sz w:val="24"/>
          <w:szCs w:val="24"/>
        </w:rPr>
        <w:t>referenta – projekt koordinator i financijski administrator propisan je koeficijent 2,11</w:t>
      </w:r>
      <w:r>
        <w:rPr>
          <w:rFonts w:ascii="Times New Roman" w:hAnsi="Times New Roman"/>
          <w:sz w:val="24"/>
          <w:szCs w:val="24"/>
        </w:rPr>
        <w:t>, dok je osnovica utvrđena Odlukom</w:t>
      </w:r>
      <w:r w:rsidR="007A40D7">
        <w:rPr>
          <w:rFonts w:ascii="Times New Roman" w:hAnsi="Times New Roman"/>
          <w:sz w:val="24"/>
          <w:szCs w:val="24"/>
        </w:rPr>
        <w:t xml:space="preserve"> općinskog načelnika i iznosi 3.043</w:t>
      </w:r>
      <w:r>
        <w:rPr>
          <w:rFonts w:ascii="Times New Roman" w:hAnsi="Times New Roman"/>
          <w:sz w:val="24"/>
          <w:szCs w:val="24"/>
        </w:rPr>
        <w:t xml:space="preserve">,00 kuna (bruto).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Način obavljanja prethodne provjere znanja i sposobnosti kandidata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kandidate prijavljene na oglas koji su podnijeli pravodobnu i urednu prijavu te ispunjavaju formalne uvjete provest će se prethodna provjera znanja i sposobnosti.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 se da je kandidat, koji nije pristupio prethodnoj provjeri znanja i sposobnosti, povukao prijavu na oglas.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 znanja i sposobnosti se sastoji od pi</w:t>
      </w:r>
      <w:r w:rsidR="007A40D7">
        <w:rPr>
          <w:rFonts w:ascii="Times New Roman" w:hAnsi="Times New Roman"/>
          <w:sz w:val="24"/>
          <w:szCs w:val="24"/>
        </w:rPr>
        <w:t>sanog testiranja. Test sadrži 20</w:t>
      </w:r>
      <w:r>
        <w:rPr>
          <w:rFonts w:ascii="Times New Roman" w:hAnsi="Times New Roman"/>
          <w:sz w:val="24"/>
          <w:szCs w:val="24"/>
        </w:rPr>
        <w:t xml:space="preserve"> pitanja. Za svaki točan odgovor kandidatu se dodjeljuje 0,5 boda.</w:t>
      </w:r>
    </w:p>
    <w:p w:rsidR="000650E4" w:rsidRDefault="000650E4" w:rsidP="00F944B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Maksimalan broj bodova koji kandidati mogu ostvariti je 10 bodova. Smatra s</w:t>
      </w:r>
      <w:r w:rsidR="00F944BC">
        <w:rPr>
          <w:rFonts w:ascii="Times New Roman" w:hAnsi="Times New Roman"/>
          <w:sz w:val="24"/>
          <w:szCs w:val="24"/>
        </w:rPr>
        <w:t>e da su kandidati položili provjeru znanja</w:t>
      </w:r>
      <w:r>
        <w:rPr>
          <w:rFonts w:ascii="Times New Roman" w:hAnsi="Times New Roman"/>
          <w:sz w:val="24"/>
          <w:szCs w:val="24"/>
        </w:rPr>
        <w:t xml:space="preserve"> ukoliko su ostvarili najmanje 50% bodova (5 i više bodova), i s takvim kandidatima će Povjerenstvo za provedbu oglasa provesti intervju. </w:t>
      </w:r>
    </w:p>
    <w:p w:rsidR="000650E4" w:rsidRDefault="000650E4" w:rsidP="00F944B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oglasa kroz razgovor s kandidatima prilikom intervjua utvrđuje interese, profesionalne ciljeve i motivaciju kandidata za rad na navedenom radnom mjestu. Maksimalan broj bodova koji kandidati mogu ostvariti na intervjuu je 5 bodova.</w:t>
      </w:r>
    </w:p>
    <w:p w:rsidR="000650E4" w:rsidRDefault="000650E4" w:rsidP="00F944B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rezultatima testiranja i vremenu održavanja intervjua kandidati će biti obaviješteni.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650E4" w:rsidRDefault="000650E4" w:rsidP="000650E4">
      <w:pPr>
        <w:ind w:firstLine="708"/>
      </w:pPr>
      <w:r>
        <w:rPr>
          <w:spacing w:val="1"/>
          <w:position w:val="-1"/>
        </w:rPr>
        <w:t>N</w:t>
      </w:r>
      <w:r>
        <w:rPr>
          <w:position w:val="-1"/>
        </w:rPr>
        <w:t>ak</w:t>
      </w:r>
      <w:r>
        <w:rPr>
          <w:spacing w:val="-2"/>
          <w:position w:val="-1"/>
        </w:rPr>
        <w:t>o</w:t>
      </w:r>
      <w:r>
        <w:rPr>
          <w:position w:val="-1"/>
        </w:rPr>
        <w:t>n</w:t>
      </w:r>
      <w:r>
        <w:rPr>
          <w:spacing w:val="65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-1"/>
          <w:position w:val="-1"/>
        </w:rPr>
        <w:t>r</w:t>
      </w:r>
      <w:r>
        <w:rPr>
          <w:position w:val="-1"/>
        </w:rPr>
        <w:t>ovedene</w:t>
      </w:r>
      <w:r>
        <w:rPr>
          <w:spacing w:val="63"/>
          <w:position w:val="-1"/>
        </w:rPr>
        <w:t xml:space="preserve"> </w:t>
      </w:r>
      <w:r>
        <w:t xml:space="preserve">prethodne provjere znanja i sposobnosti </w:t>
      </w:r>
      <w:r>
        <w:rPr>
          <w:spacing w:val="-1"/>
        </w:rPr>
        <w:t>u</w:t>
      </w:r>
      <w:r>
        <w:rPr>
          <w:spacing w:val="1"/>
        </w:rPr>
        <w:t>t</w:t>
      </w:r>
      <w:r>
        <w:t>vrđu</w:t>
      </w:r>
      <w:r>
        <w:rPr>
          <w:spacing w:val="-2"/>
        </w:rPr>
        <w:t>j</w:t>
      </w:r>
      <w:r>
        <w:t>e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ra</w:t>
      </w:r>
      <w:r>
        <w:rPr>
          <w:spacing w:val="-1"/>
        </w:rPr>
        <w:t>n</w:t>
      </w:r>
      <w:r>
        <w:t>g</w:t>
      </w:r>
      <w:r>
        <w:rPr>
          <w:spacing w:val="63"/>
          <w:position w:val="-1"/>
        </w:rPr>
        <w:t xml:space="preserve"> </w:t>
      </w:r>
      <w:r>
        <w:rPr>
          <w:spacing w:val="2"/>
          <w:position w:val="-1"/>
        </w:rPr>
        <w:t>l</w:t>
      </w:r>
      <w:r>
        <w:rPr>
          <w:position w:val="-1"/>
        </w:rPr>
        <w:t>i</w:t>
      </w:r>
      <w:r>
        <w:rPr>
          <w:spacing w:val="-1"/>
          <w:position w:val="-1"/>
        </w:rPr>
        <w:t>st</w:t>
      </w:r>
      <w:r>
        <w:rPr>
          <w:position w:val="-1"/>
        </w:rPr>
        <w:t>a</w:t>
      </w:r>
      <w:r>
        <w:rPr>
          <w:spacing w:val="65"/>
          <w:position w:val="-1"/>
        </w:rPr>
        <w:t xml:space="preserve"> </w:t>
      </w:r>
      <w:r>
        <w:rPr>
          <w:position w:val="-1"/>
        </w:rPr>
        <w:t>ka</w:t>
      </w:r>
      <w:r>
        <w:rPr>
          <w:spacing w:val="-1"/>
          <w:position w:val="-1"/>
        </w:rPr>
        <w:t>n</w:t>
      </w:r>
      <w:r>
        <w:rPr>
          <w:position w:val="-1"/>
        </w:rPr>
        <w:t>d</w:t>
      </w:r>
      <w:r>
        <w:rPr>
          <w:spacing w:val="1"/>
          <w:position w:val="-1"/>
        </w:rPr>
        <w:t>i</w:t>
      </w:r>
      <w:r>
        <w:rPr>
          <w:position w:val="-1"/>
        </w:rPr>
        <w:t>d</w:t>
      </w:r>
      <w:r>
        <w:rPr>
          <w:spacing w:val="1"/>
          <w:position w:val="-1"/>
        </w:rPr>
        <w:t>a</w:t>
      </w:r>
      <w:r>
        <w:rPr>
          <w:spacing w:val="-1"/>
          <w:position w:val="-1"/>
        </w:rPr>
        <w:t>t</w:t>
      </w:r>
      <w:r>
        <w:rPr>
          <w:position w:val="-1"/>
        </w:rPr>
        <w:t>a</w:t>
      </w:r>
      <w:r>
        <w:t xml:space="preserve"> p</w:t>
      </w:r>
      <w:r>
        <w:rPr>
          <w:spacing w:val="1"/>
        </w:rPr>
        <w:t>r</w:t>
      </w:r>
      <w:r>
        <w:t xml:space="preserve">ema </w:t>
      </w:r>
      <w:r>
        <w:rPr>
          <w:spacing w:val="1"/>
        </w:rPr>
        <w:t>u</w:t>
      </w:r>
      <w:r>
        <w:t>k</w:t>
      </w:r>
      <w:r>
        <w:rPr>
          <w:spacing w:val="-1"/>
        </w:rPr>
        <w:t>u</w:t>
      </w:r>
      <w:r>
        <w:t>pnom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r</w:t>
      </w:r>
      <w:r>
        <w:t>oju b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rPr>
          <w:spacing w:val="2"/>
        </w:rPr>
        <w:t>v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s</w:t>
      </w:r>
      <w:r>
        <w:rPr>
          <w:spacing w:val="1"/>
        </w:rPr>
        <w:t>t</w:t>
      </w:r>
      <w:r>
        <w:t xml:space="preserve">varenih </w:t>
      </w:r>
      <w:r>
        <w:rPr>
          <w:spacing w:val="1"/>
        </w:rPr>
        <w:t>n</w:t>
      </w:r>
      <w:r>
        <w:t xml:space="preserve">a pisanom </w:t>
      </w:r>
      <w:r>
        <w:rPr>
          <w:spacing w:val="-1"/>
        </w:rPr>
        <w:t>t</w:t>
      </w:r>
      <w:r>
        <w:t>es</w:t>
      </w:r>
      <w:r>
        <w:rPr>
          <w:spacing w:val="-1"/>
        </w:rPr>
        <w:t>t</w:t>
      </w:r>
      <w:r>
        <w:t>ira</w:t>
      </w:r>
      <w:r>
        <w:rPr>
          <w:spacing w:val="1"/>
        </w:rPr>
        <w:t>n</w:t>
      </w:r>
      <w:r>
        <w:t>ju i 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>r</w:t>
      </w:r>
      <w:r>
        <w:t>vj</w:t>
      </w:r>
      <w:r>
        <w:rPr>
          <w:spacing w:val="1"/>
        </w:rPr>
        <w:t>u</w:t>
      </w:r>
      <w:r>
        <w:rPr>
          <w:spacing w:val="-1"/>
        </w:rPr>
        <w:t>u</w:t>
      </w:r>
      <w:r>
        <w:t>.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Područje testiranja te pravni i drugi izvori za pripremanje kandidata za testiranje: </w:t>
      </w:r>
    </w:p>
    <w:p w:rsidR="000650E4" w:rsidRDefault="00F944BC" w:rsidP="00F944BC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</w:pPr>
      <w:r w:rsidRPr="00F944BC">
        <w:t>Zakon o službenicima i namještenicima u lokalnoj i područnoj (regionalnoj samoupravi (NN br. 86/08, 61/11, 04/18, 112/19)</w:t>
      </w:r>
    </w:p>
    <w:p w:rsidR="00F944BC" w:rsidRDefault="00F944BC" w:rsidP="00F944BC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Statut Općine </w:t>
      </w:r>
      <w:proofErr w:type="spellStart"/>
      <w:r>
        <w:t>Viškovci</w:t>
      </w:r>
      <w:proofErr w:type="spellEnd"/>
      <w:r>
        <w:t xml:space="preserve"> (Službeni glasnik Općine </w:t>
      </w:r>
      <w:proofErr w:type="spellStart"/>
      <w:r>
        <w:t>Viškovci</w:t>
      </w:r>
      <w:proofErr w:type="spellEnd"/>
      <w:r>
        <w:t xml:space="preserve"> br. 01/13, 01/18 i 01/20)</w:t>
      </w:r>
    </w:p>
    <w:p w:rsidR="00F944BC" w:rsidRDefault="00F944BC" w:rsidP="00F944BC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Upute za prijavitelje – Širenje mreže socijalnih usluga u zajednici – faza 1 UP.02.2.2.06;  </w:t>
      </w:r>
      <w:hyperlink r:id="rId7" w:history="1">
        <w:r w:rsidRPr="00844499">
          <w:rPr>
            <w:rStyle w:val="Hiperveza"/>
          </w:rPr>
          <w:t>http://www.esf.hr/wordpress/wp-content/uploads/2018/01/Upute-za-prijavitelje_14.05.2018_Mre%C5%BEa_pro%C4%8Di%C5%A1%C4%87eno.pdf</w:t>
        </w:r>
      </w:hyperlink>
    </w:p>
    <w:p w:rsidR="00F944BC" w:rsidRDefault="00F944BC" w:rsidP="00F944BC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Posebni uvjeti ugovora - </w:t>
      </w:r>
      <w:r>
        <w:t>Širenje mreže socijalnih usluga u zajednici – faza 1 UP.02.2.2.06;</w:t>
      </w:r>
      <w:r w:rsidRPr="00F944BC">
        <w:t xml:space="preserve"> </w:t>
      </w:r>
      <w:hyperlink r:id="rId8" w:history="1">
        <w:r w:rsidRPr="00844499">
          <w:rPr>
            <w:rStyle w:val="Hiperveza"/>
          </w:rPr>
          <w:t>http://www.esf.hr/wordpress/wp-content/uploads/2018/01/Prilog-1_Posebni-uvjeti-ugovora_14.05.2018_Mre%C5%BEa.pdf</w:t>
        </w:r>
      </w:hyperlink>
    </w:p>
    <w:p w:rsidR="00F944BC" w:rsidRPr="00F944BC" w:rsidRDefault="00F944BC" w:rsidP="00F944BC">
      <w:pPr>
        <w:pStyle w:val="Odlomakpopisa"/>
        <w:autoSpaceDE w:val="0"/>
        <w:autoSpaceDN w:val="0"/>
        <w:adjustRightInd w:val="0"/>
        <w:jc w:val="both"/>
      </w:pPr>
      <w:bookmarkStart w:id="2" w:name="_GoBack"/>
      <w:bookmarkEnd w:id="2"/>
    </w:p>
    <w:p w:rsidR="000650E4" w:rsidRDefault="000650E4" w:rsidP="000650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Postupak testiranja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testiranje je potrebno donijeti osobnu iskaznicu ili drugu ispravu na kojoj se nalazi fotografija, sa kojom se dokazuje identitet osobe.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 se da je kandidat koji nije pristupio testiranju povukao prijavu na oglas.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Vrijeme trajanja testiranja – 40 minuta.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vrijeme testiranja nije dopušteno: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koristiti se bilo kakvom literaturom odnosno bilješkama,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koristiti mobitel ili druga komunikacijska sredstva,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napuštati prostoriju u kojoj se provjera odvija,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razgovarati s ostalim kandidatima niti na bilo koji drugi način remetiti koncentraciju kandidata. </w:t>
      </w:r>
    </w:p>
    <w:p w:rsidR="000650E4" w:rsidRDefault="000650E4" w:rsidP="000650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 održavanja prethodne provjere znanja i sposobnosti kandidata bit će objavljeno na int</w:t>
      </w:r>
      <w:r w:rsidR="00F944BC">
        <w:rPr>
          <w:rFonts w:ascii="Times New Roman" w:hAnsi="Times New Roman"/>
          <w:sz w:val="24"/>
          <w:szCs w:val="24"/>
        </w:rPr>
        <w:t xml:space="preserve">ernetskim stranicama Općine </w:t>
      </w:r>
      <w:proofErr w:type="spellStart"/>
      <w:r w:rsidR="00F944BC">
        <w:rPr>
          <w:rFonts w:ascii="Times New Roman" w:hAnsi="Times New Roman"/>
          <w:sz w:val="24"/>
          <w:szCs w:val="24"/>
        </w:rPr>
        <w:t>Viškovci</w:t>
      </w:r>
      <w:proofErr w:type="spellEnd"/>
      <w:r w:rsidR="00F944BC">
        <w:rPr>
          <w:rFonts w:ascii="Times New Roman" w:hAnsi="Times New Roman"/>
          <w:sz w:val="24"/>
          <w:szCs w:val="24"/>
        </w:rPr>
        <w:t xml:space="preserve"> www.viskovci.</w:t>
      </w:r>
      <w:r>
        <w:rPr>
          <w:rFonts w:ascii="Times New Roman" w:hAnsi="Times New Roman"/>
          <w:sz w:val="24"/>
          <w:szCs w:val="24"/>
        </w:rPr>
        <w:t xml:space="preserve">hr, </w:t>
      </w:r>
      <w:r w:rsidR="00F944BC">
        <w:rPr>
          <w:rFonts w:ascii="Times New Roman" w:hAnsi="Times New Roman"/>
          <w:sz w:val="24"/>
          <w:szCs w:val="24"/>
        </w:rPr>
        <w:t xml:space="preserve">te na oglasnoj ploči Općine </w:t>
      </w:r>
      <w:proofErr w:type="spellStart"/>
      <w:r w:rsidR="00F944BC">
        <w:rPr>
          <w:rFonts w:ascii="Times New Roman" w:hAnsi="Times New Roman"/>
          <w:sz w:val="24"/>
          <w:szCs w:val="24"/>
        </w:rPr>
        <w:t>Viškovci</w:t>
      </w:r>
      <w:proofErr w:type="spellEnd"/>
      <w:r w:rsidR="00F944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najkasnije pet dana prije održavanja provjere. Kandidati koji ostvare pravo na pristupanje prethodnoj provjeri znanja i sposobnosti putem pisanog testiranja i intervjua o tome će biti obaviješteni na adresu elektroničke pošte koju su naveli u dokumentaciji predanoj na ovaj oglas. </w:t>
      </w:r>
    </w:p>
    <w:p w:rsidR="000650E4" w:rsidRPr="00F944BC" w:rsidRDefault="000650E4" w:rsidP="000650E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0650E4" w:rsidRPr="00F944BC" w:rsidRDefault="00F944BC" w:rsidP="00F944B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944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0650E4" w:rsidRPr="00F944BC">
        <w:rPr>
          <w:rFonts w:ascii="Times New Roman" w:hAnsi="Times New Roman"/>
          <w:b/>
          <w:sz w:val="24"/>
          <w:szCs w:val="24"/>
        </w:rPr>
        <w:t>Povjerenstvo za provedbu oglasa</w:t>
      </w:r>
    </w:p>
    <w:p w:rsidR="0013667D" w:rsidRDefault="0013667D"/>
    <w:sectPr w:rsidR="0013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72C76"/>
    <w:multiLevelType w:val="hybridMultilevel"/>
    <w:tmpl w:val="ACA0EB14"/>
    <w:lvl w:ilvl="0" w:tplc="907A3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50672"/>
    <w:multiLevelType w:val="hybridMultilevel"/>
    <w:tmpl w:val="26284386"/>
    <w:lvl w:ilvl="0" w:tplc="9542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E4"/>
    <w:rsid w:val="000650E4"/>
    <w:rsid w:val="0013667D"/>
    <w:rsid w:val="00651FF7"/>
    <w:rsid w:val="007A40D7"/>
    <w:rsid w:val="00AF4D78"/>
    <w:rsid w:val="00C34355"/>
    <w:rsid w:val="00E4564C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0650E4"/>
    <w:rPr>
      <w:color w:val="0563C1"/>
      <w:u w:val="single"/>
    </w:rPr>
  </w:style>
  <w:style w:type="paragraph" w:styleId="Bezproreda">
    <w:name w:val="No Spacing"/>
    <w:uiPriority w:val="1"/>
    <w:qFormat/>
    <w:rsid w:val="000650E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50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0E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ekst">
    <w:name w:val="tekst"/>
    <w:basedOn w:val="Normal"/>
    <w:rsid w:val="00AF4D7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94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0650E4"/>
    <w:rPr>
      <w:color w:val="0563C1"/>
      <w:u w:val="single"/>
    </w:rPr>
  </w:style>
  <w:style w:type="paragraph" w:styleId="Bezproreda">
    <w:name w:val="No Spacing"/>
    <w:uiPriority w:val="1"/>
    <w:qFormat/>
    <w:rsid w:val="000650E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50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0E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ekst">
    <w:name w:val="tekst"/>
    <w:basedOn w:val="Normal"/>
    <w:rsid w:val="00AF4D7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9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hr/wordpress/wp-content/uploads/2018/01/Prilog-1_Posebni-uvjeti-ugovora_14.05.2018_Mre%C5%BE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f.hr/wordpress/wp-content/uploads/2018/01/Upute-za-prijavitelje_14.05.2018_Mre%C5%BEa_pro%C4%8Di%C5%A1%C4%87e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2020-10-20T11:15:00Z</dcterms:created>
  <dcterms:modified xsi:type="dcterms:W3CDTF">2020-10-20T12:41:00Z</dcterms:modified>
</cp:coreProperties>
</file>