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08" w:rsidRDefault="007E0008" w:rsidP="007E0008">
      <w:pPr>
        <w:jc w:val="right"/>
        <w:rPr>
          <w:b/>
          <w:i/>
          <w:sz w:val="36"/>
          <w:szCs w:val="36"/>
        </w:rPr>
      </w:pPr>
      <w:r w:rsidRPr="00044369">
        <w:rPr>
          <w:b/>
          <w:i/>
          <w:sz w:val="36"/>
          <w:szCs w:val="36"/>
        </w:rPr>
        <w:t>ISSN 1847-4853</w:t>
      </w:r>
    </w:p>
    <w:p w:rsidR="007E0008" w:rsidRDefault="007E0008" w:rsidP="007E0008">
      <w:pPr>
        <w:rPr>
          <w:rFonts w:ascii="Lucida Handwriting" w:hAnsi="Lucida Handwriting"/>
          <w:i/>
          <w:sz w:val="144"/>
          <w:szCs w:val="144"/>
        </w:rPr>
      </w:pPr>
    </w:p>
    <w:p w:rsidR="007E0008" w:rsidRPr="00355B04" w:rsidRDefault="007E0008" w:rsidP="007E0008">
      <w:pPr>
        <w:jc w:val="center"/>
        <w:rPr>
          <w:rFonts w:ascii="Algerian" w:hAnsi="Algerian"/>
          <w:i/>
          <w:sz w:val="144"/>
          <w:szCs w:val="144"/>
        </w:rPr>
      </w:pPr>
      <w:r w:rsidRPr="00355B04">
        <w:rPr>
          <w:rFonts w:ascii="Algerian" w:hAnsi="Algerian"/>
          <w:i/>
          <w:sz w:val="144"/>
          <w:szCs w:val="144"/>
        </w:rPr>
        <w:t>SLU</w:t>
      </w:r>
      <w:r w:rsidRPr="00355B04">
        <w:rPr>
          <w:i/>
          <w:sz w:val="144"/>
          <w:szCs w:val="144"/>
        </w:rPr>
        <w:t>Ž</w:t>
      </w:r>
      <w:r w:rsidRPr="00355B04">
        <w:rPr>
          <w:rFonts w:ascii="Algerian" w:hAnsi="Algerian"/>
          <w:i/>
          <w:sz w:val="144"/>
          <w:szCs w:val="144"/>
        </w:rPr>
        <w:t>BENI</w:t>
      </w:r>
    </w:p>
    <w:p w:rsidR="007E0008" w:rsidRPr="00355B04" w:rsidRDefault="007E0008" w:rsidP="007E0008">
      <w:pPr>
        <w:jc w:val="center"/>
        <w:rPr>
          <w:rFonts w:ascii="Algerian" w:hAnsi="Algerian"/>
          <w:i/>
          <w:sz w:val="144"/>
          <w:szCs w:val="144"/>
        </w:rPr>
      </w:pPr>
      <w:r w:rsidRPr="00355B04">
        <w:rPr>
          <w:rFonts w:ascii="Algerian" w:hAnsi="Algerian"/>
          <w:i/>
          <w:sz w:val="144"/>
          <w:szCs w:val="144"/>
        </w:rPr>
        <w:t>GLASNIK</w:t>
      </w: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jc w:val="center"/>
        <w:rPr>
          <w:rFonts w:ascii="Algerian" w:hAnsi="Algerian"/>
          <w:i/>
          <w:sz w:val="96"/>
          <w:szCs w:val="96"/>
        </w:rPr>
      </w:pPr>
      <w:r w:rsidRPr="00355B04">
        <w:rPr>
          <w:rFonts w:ascii="Algerian" w:hAnsi="Algerian"/>
          <w:i/>
          <w:sz w:val="96"/>
          <w:szCs w:val="96"/>
        </w:rPr>
        <w:t>OP</w:t>
      </w:r>
      <w:r w:rsidRPr="00355B04">
        <w:rPr>
          <w:i/>
          <w:sz w:val="96"/>
          <w:szCs w:val="96"/>
        </w:rPr>
        <w:t>Ć</w:t>
      </w:r>
      <w:r w:rsidRPr="00355B04">
        <w:rPr>
          <w:rFonts w:ascii="Algerian" w:hAnsi="Algerian"/>
          <w:i/>
          <w:sz w:val="96"/>
          <w:szCs w:val="96"/>
        </w:rPr>
        <w:t>INE VI</w:t>
      </w:r>
      <w:r w:rsidRPr="00355B04">
        <w:rPr>
          <w:rFonts w:ascii="Algerian" w:hAnsi="Algerian" w:cs="Lucida Handwriting"/>
          <w:i/>
          <w:sz w:val="96"/>
          <w:szCs w:val="96"/>
        </w:rPr>
        <w:t>Š</w:t>
      </w:r>
      <w:r w:rsidRPr="00355B04">
        <w:rPr>
          <w:rFonts w:ascii="Algerian" w:hAnsi="Algerian"/>
          <w:i/>
          <w:sz w:val="96"/>
          <w:szCs w:val="96"/>
        </w:rPr>
        <w:t>KOVCI</w:t>
      </w:r>
    </w:p>
    <w:p w:rsidR="007E0008" w:rsidRPr="00355B04" w:rsidRDefault="007E0008" w:rsidP="007E0008">
      <w:pPr>
        <w:rPr>
          <w:rFonts w:ascii="Algerian" w:hAnsi="Algerian"/>
          <w:sz w:val="72"/>
          <w:szCs w:val="72"/>
        </w:rPr>
      </w:pPr>
    </w:p>
    <w:p w:rsidR="007E0008" w:rsidRPr="00355B04" w:rsidRDefault="00001B27" w:rsidP="007E0008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Broj 7a</w:t>
      </w: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C539C3" w:rsidP="007E000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Viškovci, 06</w:t>
      </w:r>
      <w:bookmarkStart w:id="0" w:name="_GoBack"/>
      <w:bookmarkEnd w:id="0"/>
      <w:r w:rsidR="00C03C11">
        <w:rPr>
          <w:rFonts w:ascii="Monotype Corsiva" w:hAnsi="Monotype Corsiva"/>
          <w:b/>
          <w:sz w:val="52"/>
          <w:szCs w:val="52"/>
        </w:rPr>
        <w:t xml:space="preserve">. </w:t>
      </w:r>
      <w:r w:rsidR="00001B27">
        <w:rPr>
          <w:rFonts w:ascii="Monotype Corsiva" w:hAnsi="Monotype Corsiva"/>
          <w:b/>
          <w:sz w:val="52"/>
          <w:szCs w:val="52"/>
        </w:rPr>
        <w:t>studeni</w:t>
      </w:r>
      <w:r w:rsidR="007E0008" w:rsidRPr="00355B04">
        <w:rPr>
          <w:rFonts w:ascii="Monotype Corsiva" w:hAnsi="Monotype Corsiva"/>
          <w:b/>
          <w:sz w:val="52"/>
          <w:szCs w:val="52"/>
        </w:rPr>
        <w:t xml:space="preserve"> 2018.</w:t>
      </w:r>
    </w:p>
    <w:p w:rsidR="007E0008" w:rsidRPr="00355B04" w:rsidRDefault="007E0008" w:rsidP="007E0008">
      <w:pPr>
        <w:rPr>
          <w:rFonts w:ascii="Juice ITC" w:hAnsi="Juice ITC"/>
          <w:b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Default="007E0008" w:rsidP="007E0008"/>
    <w:p w:rsidR="007E0008" w:rsidRDefault="007E0008" w:rsidP="007E0008"/>
    <w:p w:rsidR="007E0008" w:rsidRDefault="007E0008" w:rsidP="007E0008"/>
    <w:p w:rsidR="007E0008" w:rsidRDefault="007E0008" w:rsidP="007E0008"/>
    <w:p w:rsidR="007E0008" w:rsidRDefault="007E0008" w:rsidP="007E0008"/>
    <w:p w:rsidR="007E0008" w:rsidRPr="007F19A1" w:rsidRDefault="007E0008" w:rsidP="007E0008">
      <w:pPr>
        <w:pBdr>
          <w:bottom w:val="single" w:sz="12" w:space="1" w:color="auto"/>
        </w:pBdr>
        <w:jc w:val="center"/>
        <w:rPr>
          <w:rFonts w:ascii="Aharoni" w:hAnsi="Aharoni" w:cs="Aharoni"/>
          <w:b/>
        </w:rPr>
      </w:pPr>
      <w:r w:rsidRPr="007F19A1">
        <w:rPr>
          <w:rFonts w:ascii="Aharoni" w:hAnsi="Aharoni" w:cs="Aharoni"/>
          <w:b/>
        </w:rPr>
        <w:lastRenderedPageBreak/>
        <w:t>Službeni glasnik</w:t>
      </w:r>
    </w:p>
    <w:p w:rsidR="007E0008" w:rsidRPr="007F19A1" w:rsidRDefault="007E0008" w:rsidP="007E0008">
      <w:pPr>
        <w:rPr>
          <w:rFonts w:ascii="Aharoni" w:hAnsi="Aharoni" w:cs="Aharoni"/>
        </w:rPr>
      </w:pPr>
    </w:p>
    <w:p w:rsidR="007E0008" w:rsidRPr="00533967" w:rsidRDefault="007E0008" w:rsidP="007E0008">
      <w:pPr>
        <w:rPr>
          <w:rFonts w:ascii="Algerian" w:hAnsi="Algerian"/>
        </w:rPr>
      </w:pPr>
    </w:p>
    <w:p w:rsidR="007E0008" w:rsidRPr="00533967" w:rsidRDefault="007E0008" w:rsidP="007E0008">
      <w:pPr>
        <w:spacing w:line="360" w:lineRule="auto"/>
        <w:rPr>
          <w:i/>
          <w:u w:val="single"/>
        </w:rPr>
      </w:pPr>
      <w:r w:rsidRPr="00533967">
        <w:rPr>
          <w:i/>
          <w:u w:val="single"/>
        </w:rPr>
        <w:t>AKTI OPĆINSKOG NAČELNIKA</w:t>
      </w:r>
    </w:p>
    <w:p w:rsidR="007E0008" w:rsidRDefault="007E0008" w:rsidP="007E0008">
      <w:pPr>
        <w:spacing w:line="360" w:lineRule="auto"/>
      </w:pPr>
    </w:p>
    <w:p w:rsidR="00304B48" w:rsidRDefault="00001B27" w:rsidP="00C03C11">
      <w:pPr>
        <w:spacing w:line="360" w:lineRule="auto"/>
        <w:ind w:left="360"/>
        <w:jc w:val="both"/>
      </w:pPr>
      <w:r>
        <w:t>1. Poslovnik o radu stožera civilne zaštite Općine Viškovci…….………………………3</w:t>
      </w:r>
    </w:p>
    <w:p w:rsidR="00001B27" w:rsidRDefault="00001B27" w:rsidP="00C03C11">
      <w:pPr>
        <w:spacing w:line="360" w:lineRule="auto"/>
        <w:ind w:left="360"/>
        <w:jc w:val="both"/>
      </w:pPr>
    </w:p>
    <w:p w:rsidR="00C03C11" w:rsidRDefault="00C03C11" w:rsidP="00C03C11">
      <w:pPr>
        <w:spacing w:line="360" w:lineRule="auto"/>
        <w:ind w:left="360"/>
        <w:jc w:val="both"/>
      </w:pPr>
    </w:p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7E0008" w:rsidRDefault="007E0008"/>
    <w:p w:rsidR="00C03C11" w:rsidRDefault="00C03C11"/>
    <w:p w:rsidR="00C03C11" w:rsidRDefault="00C03C11"/>
    <w:p w:rsidR="00C03C11" w:rsidRDefault="00C03C11"/>
    <w:p w:rsidR="00C03C11" w:rsidRDefault="00C03C11"/>
    <w:p w:rsidR="007E0008" w:rsidRDefault="007E0008"/>
    <w:p w:rsidR="007E0008" w:rsidRDefault="007E0008"/>
    <w:p w:rsidR="007E0008" w:rsidRDefault="007E0008"/>
    <w:p w:rsidR="007E0008" w:rsidRDefault="007E0008"/>
    <w:p w:rsidR="00C03C11" w:rsidRPr="00C03C11" w:rsidRDefault="00C03C11" w:rsidP="00C03C11">
      <w:pPr>
        <w:rPr>
          <w:rFonts w:eastAsia="Calibri"/>
          <w:color w:val="FF0000"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001B27" w:rsidRDefault="00001B27" w:rsidP="00001B27">
      <w:pPr>
        <w:keepNext/>
      </w:pPr>
      <w:r>
        <w:lastRenderedPageBreak/>
        <w:t>REPUBLIKA HRVATSKA</w:t>
      </w:r>
    </w:p>
    <w:p w:rsidR="00001B27" w:rsidRDefault="00001B27" w:rsidP="00001B27">
      <w:pPr>
        <w:keepNext/>
      </w:pPr>
      <w:r>
        <w:t>OSJEČKO-BARANJSKA ŽUPANIJA</w:t>
      </w:r>
    </w:p>
    <w:p w:rsidR="00001B27" w:rsidRDefault="00001B27" w:rsidP="00001B27">
      <w:pPr>
        <w:keepNext/>
      </w:pPr>
      <w:r>
        <w:t>OPĆINA VIŠKOVCI</w:t>
      </w:r>
    </w:p>
    <w:p w:rsidR="00001B27" w:rsidRDefault="00001B27" w:rsidP="00001B27">
      <w:pPr>
        <w:keepNext/>
        <w:ind w:left="-709"/>
        <w:rPr>
          <w:b/>
        </w:rPr>
      </w:pPr>
      <w:r>
        <w:t xml:space="preserve">            </w:t>
      </w:r>
      <w:r>
        <w:rPr>
          <w:b/>
        </w:rPr>
        <w:t>OPĆINSKI NAČELNIK</w:t>
      </w:r>
    </w:p>
    <w:p w:rsidR="00001B27" w:rsidRDefault="00001B27" w:rsidP="00001B27">
      <w:pPr>
        <w:keepNext/>
        <w:ind w:left="-709"/>
      </w:pPr>
    </w:p>
    <w:p w:rsidR="00001B27" w:rsidRDefault="00001B27" w:rsidP="00001B27">
      <w:pPr>
        <w:keepNext/>
      </w:pPr>
      <w:r>
        <w:rPr>
          <w:b/>
        </w:rPr>
        <w:t>KLASA</w:t>
      </w:r>
      <w:r>
        <w:t>: 810-01/18-01/23</w:t>
      </w:r>
    </w:p>
    <w:p w:rsidR="00001B27" w:rsidRDefault="00001B27" w:rsidP="00001B27">
      <w:pPr>
        <w:keepNext/>
        <w:ind w:left="-709"/>
      </w:pPr>
      <w:r>
        <w:tab/>
      </w:r>
      <w:r>
        <w:tab/>
      </w:r>
      <w:r>
        <w:rPr>
          <w:b/>
        </w:rPr>
        <w:t>URBROJ</w:t>
      </w:r>
      <w:r>
        <w:t xml:space="preserve">:2121/10-02-01/18-757 </w:t>
      </w:r>
    </w:p>
    <w:p w:rsidR="00001B27" w:rsidRDefault="00001B27" w:rsidP="00001B27">
      <w:pPr>
        <w:keepNext/>
        <w:ind w:left="-709"/>
      </w:pPr>
      <w:r>
        <w:t xml:space="preserve">            Viškovci, 05. studeni 2018. godine </w:t>
      </w:r>
    </w:p>
    <w:p w:rsidR="00001B27" w:rsidRDefault="00001B27" w:rsidP="00001B27">
      <w:pPr>
        <w:jc w:val="both"/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Na temelju članka 21. stavak 5. Zakona o sustavu civilne zaštite (''Narodne novine'' broj 82/15) i članka 19. Pravilnika o sastavu stožera, načinu rada te uvjetima za imenovanje načelnika, zamjenika načelnika i članova stožera civilne zaštite (''Narodne novine'' broj 37/16), Općinski načelnik Općine Viškovci donosi: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8"/>
          <w:szCs w:val="28"/>
          <w:lang w:val="hr-HR"/>
        </w:rPr>
      </w:pP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8"/>
          <w:szCs w:val="28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 xml:space="preserve">POSLOVNIK O RADU </w:t>
      </w: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STOŽERA CIVILNE ZAŠTITE OPĆINE VIŠKOVCI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8"/>
          <w:szCs w:val="28"/>
          <w:lang w:val="hr-HR"/>
        </w:rPr>
      </w:pPr>
    </w:p>
    <w:p w:rsidR="00001B27" w:rsidRDefault="00001B27" w:rsidP="00001B27">
      <w:pPr>
        <w:pStyle w:val="Odlomakpopisa"/>
        <w:ind w:left="-709" w:firstLine="709"/>
        <w:rPr>
          <w:rFonts w:ascii="Times New Roman" w:hAnsi="Times New Roman"/>
          <w:b/>
          <w:sz w:val="28"/>
          <w:szCs w:val="28"/>
          <w:lang w:val="hr-HR"/>
        </w:rPr>
      </w:pPr>
    </w:p>
    <w:p w:rsidR="00001B27" w:rsidRDefault="00001B27" w:rsidP="00001B27">
      <w:pPr>
        <w:pStyle w:val="Odlomakpopisa"/>
        <w:ind w:left="-709" w:firstLine="709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I. OPĆE ODREDBE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Ovim Poslovnikom utvrđuje se način rada Stožera civilne zaštite Općine Viškovci (u daljnjemu tekstu: Stožer) pripremanje, sazivanje i rad na sjednicama Stožera, donošenje odluka iz njegovog djelokruga rada, prava i dužnosti članova Stožera, te druga pitanja.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2.</w:t>
      </w:r>
    </w:p>
    <w:p w:rsidR="00001B27" w:rsidRDefault="00001B27" w:rsidP="00001B27">
      <w:pPr>
        <w:pStyle w:val="Odlomakpopisa"/>
        <w:ind w:left="-709" w:firstLine="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Stožer obavlja poslove koji proizlaze iz Zakona o sustavu civilne zaštite (''Narodne novine'' broj 82/15) te drugih propisa koji uređuju sustav civilne zaštite.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3.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U obavljanju poslova iz svog djelokruga Stožer surađuje s Jedinstvenim upravnim odjelom Općine Viškovci, pravnim osobama od interesa za sustav civilne zaštite na svom području, županijom, Vatrogasnim zajednicama, zdravstvenom i veterinarskom službom, područnim uredom za zaštitu i spašavanje, vanjskim ekspertima, kriznim menadžerima i drugim institucijama.</w:t>
      </w: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4.</w:t>
      </w: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Tijekom planiranja i provođenja aktivnosti operativnih snaga i ukupnih ljudskih i materijalnih resursa u Općini Viškovci, Stožer surađuje i koordinira sa stožerima civilne zaštite ugroženih općina, gradova i Osječko-baranjske županije.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 w:firstLine="709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II. PRIPREMANJE SAZIVANJE I NAČIN RADA SJEDNICA STOŽERA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Članak 5.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Stožer poslove iz svoje nadležnosti obavlja na sjednicama stožera.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U slučaju spriječenosti dolaska na sjednicu, član Stožera dužan je obavijestiti načelnika Stožera najkasnije 6 sati prije održavanja sjednice.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U izvanrednim situacijama koje zahtijevaju hitno djelovanje, Stožer može održavati sjednice i u nepotpunom sastavu. U ovom slučaju, osim načelnika ili zamjenika načelnika Stožera, sjednicama moraju prisustvovati članovi Stožera bitni za donošenje odluka u nastaloj situaciji.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6.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Sjednice Stožera saziva, predlaže dnevni red i vodi sjednice načelnik Stožera, odnosno, u slučaju njegove spriječenosti, zamjenik načelnika.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Redovne sjednice Stožera održavaju se prema Planu rada Stožera za određenu godinu.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7.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Stručne materijale (nacrte prijedloga Analiza, Smjernica, Plana razvoja sustava, Plana vježbi, odluke o osnivanju i veličini tima civilne zaštite, procjene rizika, plana djelovanja civilne zaštite i dr.) za Stožer priprema Jedinstveni upravni odjel Općine Viškovci.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Zamjenik načelnika Stožera ili član Stožera kojeg ovlasti načelnik, osim o tehničkoj pripremi sjednica, brine o stručnoj obradi materijala za sjednice, zatim izradi odluka i zaključaka, te pomaže načelniku u vođenju sjednica.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8.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Redovne sjednice Stožera sazivaju se dostavljanjem radnih materijala, te pisanog poziva.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Poziv i radni materijali dostavljaju se najkasnije tri dana prije održavanja sjednice.</w:t>
      </w: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U hitnim slučajevima sjednice Stožera sazivaju se telefonom, faks porukom, e-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mailom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odnosno na način predviđen Planom pozivanja članova Stožera u Planu djelovanja civilne zaštite.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9.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Dnevni red sjednice utvrđuje se na početku sjednice.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Prijedlog dnevnog reda može se mijenjati odnosno dopuniti na prijedlog načelnika ili pojedinog člana Stožera.</w:t>
      </w: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Ako se predlaže dopuna dnevnog reda, predlagatelj je dužan pripremiti i materijale za predloženu dopunu.</w:t>
      </w: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          Poslije utvrđivanja dnevnog reda, prelazi se na raspravu po pojedinim točkama utvrđenog dnevnog reda.</w:t>
      </w: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Uvodno usmeno izlaganje pojedine točke podnosi načelnik ili izvjestitelj određen za tu točku u pripremi sjednice.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 w:firstLine="709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III. NAČIN DONOŠENJA ODLUKA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10.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Nakon rasprave po pojedinoj točki dnevnog reda, načelnik Stožera ili u njegovoj odsutnosti zamjenik načelnika Stožera, daje na glasanje utvrđeni prijedlog odluke, odnosno zaključka.</w:t>
      </w: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Prijedlog odluke ili zaključka donosi se većinom glasova prisutnih članova Stožera. Postupak glasovanja članova Stožera je javan.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11.</w:t>
      </w: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Stožer u svom radu donosi odluke, zaključke, te druge akte iz svoje nadležnosti.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12.</w:t>
      </w: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U izvanrednim okolnostima, ako su članovi (većina) Stožera uključeni u procjenjivanje moguće opasnosti ili katastrofe te u koordiniranju pojedinim dijelovima sustava civilne zaštite, odluke i zaključke donosi načelnik, odnosno njegov zamjenik (u slučaju spriječenosti načelnika) načelnika Stožera.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13.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Na sjednicama Stožera vodi se zapisnik. Zapisnik vodi osoba koju zadužuje načelnik Stožera, a potpisuju ga načelnik ili zamjenik načelnika Stožera.</w:t>
      </w: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U slučajevima iz članka 12. ovog Poslovnika ne vodi se zapisnik, već se u pisanom obliku donose procjene opasnosti, odluke načelnika, zaključci, zahtjevi ili izvješća Stožera.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14</w:t>
      </w: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Zavisno o potrebi i situaciji Stožer obavještava javnost preko načelnika ili zamjenika načelnika.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15.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Na zahtjev načelnika Stožera, u radu Stožera mogu sudjelovati predstavnici tijela i ustanova (stručnjaci iz određenih područja) iz djelatnosti koje mogu doprinijeti uspješnijem otklanjanju posljedica katastrofa i većih nesreća, zatim krizni menadžeri, kao i pročelnici odjela ili upravnih tijela koji nisu članovi Stožera.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rPr>
          <w:b/>
        </w:rPr>
      </w:pPr>
    </w:p>
    <w:p w:rsidR="00001B27" w:rsidRDefault="00001B27" w:rsidP="00001B27">
      <w:pPr>
        <w:rPr>
          <w:b/>
        </w:rPr>
      </w:pPr>
    </w:p>
    <w:p w:rsidR="00001B27" w:rsidRDefault="00001B27" w:rsidP="00001B27">
      <w:pPr>
        <w:rPr>
          <w:b/>
        </w:rPr>
      </w:pPr>
      <w:r>
        <w:rPr>
          <w:b/>
        </w:rPr>
        <w:lastRenderedPageBreak/>
        <w:t>IV. TROŠKOVI RADA STOŽERA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16.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Troškove rada i djelovanja Stožera snosi Općina.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Financijska sredstva za rad stožera osiguravaju se u planu razvoja sustava civilne zaštite.</w:t>
      </w:r>
    </w:p>
    <w:p w:rsidR="00001B27" w:rsidRDefault="00001B27" w:rsidP="00001B27">
      <w:pPr>
        <w:pStyle w:val="Odlomakpopisa"/>
        <w:ind w:left="-709" w:firstLine="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Za vrijeme službenih putovanja radi stručnog usavršavanja i osposobljavanja iz područja sustava civilne zaštite, članovi Stožera imaju pravo na dnevnicu te naknadu troškova smještaja i prijevoza, ako za to vrijeme to pravo ne koriste po drugom osnovu.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Dnevnice iz stavka 2. ovog članka isplaćuju se u iznosu koji pripada djelatnicima Općine.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 w:firstLine="709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V. DODJELA PRIZNANJA I NAGRADA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17.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Stožer može dodijeliti priznanje i nagradu pojedincima, tijelima i pravnim osobama koje su u tekućoj godini postigle izvanredne uspjehe u izvršavanju zadaća u sprječavanju, ublažavanju ili otklanjanju nastale katastrofe i veće nesreće na području Općine.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 w:firstLine="709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VI. ZAVRŠNA ODREDBA</w:t>
      </w: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Članak 18.</w:t>
      </w: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Ovaj Poslovnik stupa na snagu danom donošenja, a objavit će se u ''Službenom glasniku Općine Viškovci“.</w:t>
      </w: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-709"/>
        <w:rPr>
          <w:rFonts w:ascii="Times New Roman" w:hAnsi="Times New Roman"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4955" w:firstLine="709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OPĆINSKI NAČELNIK </w:t>
      </w:r>
    </w:p>
    <w:p w:rsidR="00001B27" w:rsidRDefault="00001B27" w:rsidP="00001B27">
      <w:pPr>
        <w:pStyle w:val="Odlomakpopisa"/>
        <w:ind w:left="4955" w:firstLine="709"/>
        <w:rPr>
          <w:rFonts w:ascii="Times New Roman" w:hAnsi="Times New Roman"/>
          <w:b/>
          <w:sz w:val="24"/>
          <w:szCs w:val="24"/>
          <w:lang w:val="hr-HR"/>
        </w:rPr>
      </w:pPr>
    </w:p>
    <w:p w:rsidR="00001B27" w:rsidRDefault="00001B27" w:rsidP="00001B27">
      <w:pPr>
        <w:pStyle w:val="Odlomakpopisa"/>
        <w:ind w:left="4955" w:firstLine="709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        Ante Krištić v.r.</w:t>
      </w:r>
    </w:p>
    <w:p w:rsidR="00001B27" w:rsidRDefault="00001B27" w:rsidP="00001B27">
      <w:pPr>
        <w:pStyle w:val="Odlomakpopisa"/>
        <w:ind w:left="4955" w:firstLine="709"/>
        <w:rPr>
          <w:rFonts w:ascii="Times New Roman" w:hAnsi="Times New Roman"/>
          <w:b/>
          <w:sz w:val="24"/>
          <w:szCs w:val="24"/>
          <w:lang w:val="hr-HR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001B27">
      <w:pPr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Default="00C03C11" w:rsidP="00C03C11">
      <w:pPr>
        <w:ind w:left="6372" w:firstLine="708"/>
        <w:jc w:val="center"/>
        <w:rPr>
          <w:rFonts w:eastAsia="Calibri"/>
          <w:bCs/>
          <w:sz w:val="20"/>
          <w:szCs w:val="20"/>
          <w:lang w:eastAsia="en-US"/>
        </w:rPr>
      </w:pPr>
    </w:p>
    <w:p w:rsidR="00C03C11" w:rsidRPr="00C03C11" w:rsidRDefault="00C03C11" w:rsidP="00C03C11">
      <w:pPr>
        <w:rPr>
          <w:rFonts w:eastAsia="Calibri"/>
          <w:sz w:val="20"/>
          <w:szCs w:val="20"/>
          <w:lang w:eastAsia="en-US"/>
        </w:rPr>
      </w:pPr>
    </w:p>
    <w:p w:rsidR="007E0008" w:rsidRDefault="007E0008"/>
    <w:p w:rsidR="007E0008" w:rsidRPr="007F19A1" w:rsidRDefault="007E0008" w:rsidP="007E0008">
      <w:pPr>
        <w:pBdr>
          <w:bottom w:val="single" w:sz="12" w:space="1" w:color="auto"/>
        </w:pBdr>
        <w:jc w:val="center"/>
        <w:rPr>
          <w:rFonts w:ascii="Aharoni" w:hAnsi="Aharoni" w:cs="Aharoni"/>
          <w:sz w:val="32"/>
          <w:szCs w:val="32"/>
        </w:rPr>
      </w:pPr>
      <w:r w:rsidRPr="007F19A1">
        <w:rPr>
          <w:rFonts w:ascii="Aharoni" w:hAnsi="Aharoni" w:cs="Aharoni"/>
          <w:sz w:val="32"/>
          <w:szCs w:val="32"/>
        </w:rPr>
        <w:t>Službeni glasnik</w:t>
      </w: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001B27">
      <w:pPr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pBdr>
          <w:bottom w:val="single" w:sz="12" w:space="1" w:color="auto"/>
        </w:pBd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Pr="007F19A1" w:rsidRDefault="007E0008" w:rsidP="007E0008">
      <w:pPr>
        <w:rPr>
          <w:rFonts w:ascii="Batang" w:eastAsia="Batang" w:hAnsi="Batang"/>
          <w:b/>
          <w:i/>
        </w:rPr>
      </w:pPr>
      <w:r w:rsidRPr="007F19A1">
        <w:rPr>
          <w:rFonts w:ascii="Batang" w:eastAsia="Batang" w:hAnsi="Batang"/>
          <w:b/>
          <w:i/>
        </w:rPr>
        <w:t xml:space="preserve">Izdaje: </w:t>
      </w:r>
      <w:r w:rsidRPr="007F19A1">
        <w:rPr>
          <w:rFonts w:ascii="Batang" w:eastAsia="Batang" w:hAnsi="Batang"/>
          <w:i/>
        </w:rPr>
        <w:t>Općina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</w:t>
      </w:r>
    </w:p>
    <w:p w:rsidR="007E0008" w:rsidRPr="007F19A1" w:rsidRDefault="007E0008" w:rsidP="007E0008">
      <w:pPr>
        <w:rPr>
          <w:rFonts w:ascii="Batang" w:eastAsia="Batang" w:hAnsi="Batang"/>
          <w:i/>
        </w:rPr>
      </w:pPr>
      <w:r w:rsidRPr="007F19A1">
        <w:rPr>
          <w:rFonts w:ascii="Batang" w:eastAsia="Batang" w:hAnsi="Batang"/>
          <w:b/>
          <w:i/>
        </w:rPr>
        <w:t xml:space="preserve">Sjedište: </w:t>
      </w:r>
      <w:r w:rsidRPr="007F19A1">
        <w:rPr>
          <w:rFonts w:ascii="Batang" w:eastAsia="Batang" w:hAnsi="Batang"/>
          <w:i/>
        </w:rPr>
        <w:t>Općina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kovci, Omladinska 23,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</w:t>
      </w:r>
    </w:p>
    <w:p w:rsidR="007E0008" w:rsidRPr="007F19A1" w:rsidRDefault="007E0008" w:rsidP="007E0008">
      <w:pPr>
        <w:rPr>
          <w:rFonts w:ascii="Batang" w:eastAsia="Batang" w:hAnsi="Batang"/>
          <w:b/>
          <w:i/>
        </w:rPr>
      </w:pPr>
      <w:r w:rsidRPr="007F19A1">
        <w:rPr>
          <w:rFonts w:ascii="Batang" w:eastAsia="Batang" w:hAnsi="Batang"/>
          <w:b/>
          <w:i/>
        </w:rPr>
        <w:t xml:space="preserve">Glavni i odgovorni urednik: </w:t>
      </w:r>
      <w:r w:rsidRPr="007F19A1">
        <w:rPr>
          <w:rFonts w:ascii="Batang" w:eastAsia="Batang" w:hAnsi="Batang"/>
          <w:i/>
        </w:rPr>
        <w:t>Ante Krištić,</w:t>
      </w:r>
      <w:r w:rsidR="007F19A1" w:rsidRPr="007F19A1">
        <w:rPr>
          <w:rFonts w:ascii="Batang" w:eastAsia="Batang" w:hAnsi="Batang"/>
          <w:i/>
        </w:rPr>
        <w:t xml:space="preserve"> općinski </w:t>
      </w:r>
      <w:r w:rsidRPr="007F19A1">
        <w:rPr>
          <w:rFonts w:ascii="Batang" w:eastAsia="Batang" w:hAnsi="Batang"/>
          <w:i/>
        </w:rPr>
        <w:t xml:space="preserve"> načelnik Općine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</w:t>
      </w:r>
    </w:p>
    <w:p w:rsidR="007E0008" w:rsidRPr="007F19A1" w:rsidRDefault="007E0008" w:rsidP="007E0008">
      <w:pPr>
        <w:rPr>
          <w:rFonts w:ascii="Batang" w:eastAsia="Batang" w:hAnsi="Batang"/>
          <w:i/>
        </w:rPr>
      </w:pPr>
      <w:r w:rsidRPr="007F19A1">
        <w:rPr>
          <w:rFonts w:ascii="Batang" w:eastAsia="Batang" w:hAnsi="Batang"/>
          <w:b/>
          <w:i/>
        </w:rPr>
        <w:t>Tisak:</w:t>
      </w:r>
      <w:r w:rsidR="007F19A1" w:rsidRPr="007F19A1">
        <w:rPr>
          <w:rFonts w:ascii="Batang" w:eastAsia="Batang" w:hAnsi="Batang"/>
          <w:b/>
          <w:i/>
        </w:rPr>
        <w:t xml:space="preserve"> </w:t>
      </w:r>
      <w:r w:rsidRPr="007F19A1">
        <w:rPr>
          <w:rFonts w:ascii="Batang" w:eastAsia="Batang" w:hAnsi="Batang"/>
          <w:i/>
        </w:rPr>
        <w:t>Jedinstveni upravni odjel Općine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kovci, Omladinska 23</w:t>
      </w:r>
    </w:p>
    <w:p w:rsidR="007E0008" w:rsidRPr="007F19A1" w:rsidRDefault="007E0008" w:rsidP="007E0008">
      <w:pPr>
        <w:rPr>
          <w:rFonts w:ascii="Batang" w:eastAsia="Batang" w:hAnsi="Batang"/>
          <w:b/>
          <w:i/>
        </w:rPr>
      </w:pPr>
      <w:r w:rsidRPr="007F19A1">
        <w:rPr>
          <w:rFonts w:ascii="Batang" w:eastAsia="Batang" w:hAnsi="Batang"/>
          <w:b/>
          <w:i/>
        </w:rPr>
        <w:t xml:space="preserve">Broj tiskanih primjeraka: </w:t>
      </w:r>
      <w:r w:rsidRPr="007F19A1">
        <w:rPr>
          <w:rFonts w:ascii="Batang" w:eastAsia="Batang" w:hAnsi="Batang"/>
          <w:b/>
        </w:rPr>
        <w:t>20</w:t>
      </w:r>
    </w:p>
    <w:p w:rsidR="007E0008" w:rsidRPr="007F19A1" w:rsidRDefault="007E0008">
      <w:pPr>
        <w:rPr>
          <w:rFonts w:ascii="Batang" w:eastAsia="Batang" w:hAnsi="Batang"/>
          <w:i/>
        </w:rPr>
      </w:pPr>
    </w:p>
    <w:sectPr w:rsidR="007E0008" w:rsidRPr="007F19A1" w:rsidSect="007F19A1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3F" w:rsidRDefault="00776C3F" w:rsidP="007F19A1">
      <w:r>
        <w:separator/>
      </w:r>
    </w:p>
  </w:endnote>
  <w:endnote w:type="continuationSeparator" w:id="0">
    <w:p w:rsidR="00776C3F" w:rsidRDefault="00776C3F" w:rsidP="007F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A1" w:rsidRDefault="007F19A1">
    <w:pPr>
      <w:pStyle w:val="Podnoje"/>
      <w:jc w:val="right"/>
    </w:pPr>
  </w:p>
  <w:p w:rsidR="007F19A1" w:rsidRDefault="007F19A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3F" w:rsidRDefault="00776C3F" w:rsidP="007F19A1">
      <w:r>
        <w:separator/>
      </w:r>
    </w:p>
  </w:footnote>
  <w:footnote w:type="continuationSeparator" w:id="0">
    <w:p w:rsidR="00776C3F" w:rsidRDefault="00776C3F" w:rsidP="007F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D0BA4"/>
    <w:multiLevelType w:val="hybridMultilevel"/>
    <w:tmpl w:val="0A325D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08"/>
    <w:rsid w:val="00001B27"/>
    <w:rsid w:val="00133935"/>
    <w:rsid w:val="00544074"/>
    <w:rsid w:val="00716441"/>
    <w:rsid w:val="00776C3F"/>
    <w:rsid w:val="00786EE2"/>
    <w:rsid w:val="007E0008"/>
    <w:rsid w:val="007F19A1"/>
    <w:rsid w:val="00A07BF3"/>
    <w:rsid w:val="00AB6EB1"/>
    <w:rsid w:val="00C03C11"/>
    <w:rsid w:val="00C539C3"/>
    <w:rsid w:val="00E8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19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19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F19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19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001B27"/>
    <w:pPr>
      <w:ind w:left="720"/>
      <w:contextualSpacing/>
    </w:pPr>
    <w:rPr>
      <w:rFonts w:ascii="Arial" w:eastAsia="Times New Roman" w:hAnsi="Arial"/>
      <w:sz w:val="22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19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19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F19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19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001B27"/>
    <w:pPr>
      <w:ind w:left="720"/>
      <w:contextualSpacing/>
    </w:pPr>
    <w:rPr>
      <w:rFonts w:ascii="Arial" w:eastAsia="Times New Roman" w:hAnsi="Arial"/>
      <w:sz w:val="22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647D-67C9-4DC9-A4DE-91A417FB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2018-04-16T09:55:00Z</dcterms:created>
  <dcterms:modified xsi:type="dcterms:W3CDTF">2020-03-16T11:20:00Z</dcterms:modified>
</cp:coreProperties>
</file>