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hr-BA"/>
        </w:rPr>
        <w:t>ŽUPANIJA: OSJEČKO-BARANJSKA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sz w:val="28"/>
          <w:szCs w:val="28"/>
          <w:lang w:val="hr-BA"/>
        </w:rPr>
        <w:t>PROGRAM RASPOLAGANJA POLJOPRIVREDNIM ZEMLJIŠTEM U VLASNIŠTVU REPUBLIKE HRVATSKE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lang w:val="hr-B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  <w:lang w:val="hr-BA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lang w:val="hr-BA"/>
        </w:rPr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hr-BA"/>
        </w:rPr>
        <w:t>ZA OPĆINU VIŠKOVCI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hr-BA"/>
        </w:rPr>
      </w:pPr>
      <w:r>
        <w:rPr>
          <w:rFonts w:cs="Times New Roman" w:ascii="Times New Roman" w:hAnsi="Times New Roman"/>
          <w:b/>
          <w:sz w:val="24"/>
          <w:szCs w:val="24"/>
          <w:lang w:val="hr-BA"/>
        </w:rPr>
        <w:t>SADRŽAJ PROGRAMA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Ukupna površina poljoprivrednog zemljišta u vlasništvu države na području općine Viškovci, iznosi:1531,77ha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Podaci o dosadašnjem raspolaganju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T-1 Prikaz </w:t>
      </w:r>
      <w:r>
        <w:rPr>
          <w:rFonts w:cs="Times New Roman" w:ascii="Times New Roman" w:hAnsi="Times New Roman"/>
          <w:b/>
          <w:szCs w:val="24"/>
        </w:rPr>
        <w:t xml:space="preserve">dosadašnjeg </w:t>
      </w:r>
      <w:r>
        <w:rPr>
          <w:rFonts w:cs="Times New Roman" w:ascii="Times New Roman" w:hAnsi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818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826"/>
        <w:gridCol w:w="1561"/>
        <w:gridCol w:w="1983"/>
      </w:tblGrid>
      <w:tr>
        <w:trPr/>
        <w:tc>
          <w:tcPr>
            <w:tcW w:w="817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OBLIK RASPOLAGANJA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( skraćeni naziv iz ugovora)</w:t>
            </w:r>
          </w:p>
        </w:tc>
        <w:tc>
          <w:tcPr>
            <w:tcW w:w="156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1363,57854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*napomena: ovdje upisati samo površine koje su prodane, a neotplaćene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Ovdje je potrebno navesti sve oblike raspolaganja po svim dosadašnjim zakonima na temelju prijašnjih Zakona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cs="Times New Roman" w:ascii="Times New Roman" w:hAnsi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>
      <w:pPr>
        <w:pStyle w:val="ListParagraph"/>
        <w:rPr>
          <w:rFonts w:ascii="Times New Roman" w:hAnsi="Times New Roman" w:cs="Times New Roman"/>
          <w:b/>
          <w:b/>
          <w:color w:val="FF0000"/>
          <w:sz w:val="24"/>
          <w:szCs w:val="24"/>
          <w:lang w:val="hr-BA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  <w:lang w:val="hr-BA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val="hr-BA"/>
        </w:rPr>
      </w:pPr>
      <w:r>
        <w:rPr>
          <w:rFonts w:cs="Times New Roman" w:ascii="Times New Roman" w:hAnsi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847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3"/>
        <w:gridCol w:w="1409"/>
        <w:gridCol w:w="3970"/>
      </w:tblGrid>
      <w:tr>
        <w:trPr/>
        <w:tc>
          <w:tcPr>
            <w:tcW w:w="309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  <w:b/>
                <w:lang w:val="hr-BA"/>
              </w:rPr>
              <w:t>OBLIK RASPOLAGANJA</w:t>
            </w:r>
          </w:p>
        </w:tc>
        <w:tc>
          <w:tcPr>
            <w:tcW w:w="140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  <w:b/>
                <w:lang w:val="hr-BA"/>
              </w:rPr>
              <w:t>Površina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  <w:b/>
                <w:lang w:val="hr-BA"/>
              </w:rPr>
              <w:t>u ha</w:t>
            </w:r>
          </w:p>
        </w:tc>
        <w:tc>
          <w:tcPr>
            <w:tcW w:w="397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  <w:b/>
                <w:lang w:val="hr-BA"/>
              </w:rPr>
              <w:t>NAPOMENA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  <w:b/>
                <w:lang w:val="hr-BA"/>
              </w:rPr>
              <w:t>(minirano, višegodišnji nasadi i sustavi odvodnje i navodnjavanja)</w:t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</w:rPr>
              <w:t xml:space="preserve">površine određene za </w:t>
            </w:r>
            <w:r>
              <w:rPr>
                <w:rFonts w:cs="Times New Roman" w:ascii="Times New Roman" w:hAnsi="Times New Roman"/>
                <w:b/>
              </w:rPr>
              <w:t>povrat</w:t>
            </w:r>
          </w:p>
        </w:tc>
        <w:tc>
          <w:tcPr>
            <w:tcW w:w="1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  <w:t>21,38</w:t>
            </w:r>
          </w:p>
        </w:tc>
        <w:tc>
          <w:tcPr>
            <w:tcW w:w="397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površine određene za </w:t>
            </w:r>
            <w:r>
              <w:rPr>
                <w:rFonts w:cs="Times New Roman" w:ascii="Times New Roman" w:hAnsi="Times New Roman"/>
                <w:b/>
              </w:rPr>
              <w:t>prodaju</w:t>
            </w:r>
            <w:r>
              <w:rPr>
                <w:rFonts w:cs="Times New Roman" w:ascii="Times New Roman" w:hAnsi="Times New Roman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jednokratno, maksimalno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25%</w:t>
            </w:r>
          </w:p>
        </w:tc>
        <w:tc>
          <w:tcPr>
            <w:tcW w:w="1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  <w:t>0,00</w:t>
            </w:r>
          </w:p>
        </w:tc>
        <w:tc>
          <w:tcPr>
            <w:tcW w:w="397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</w:r>
          </w:p>
        </w:tc>
      </w:tr>
      <w:tr>
        <w:trPr>
          <w:trHeight w:val="636" w:hRule="atLeast"/>
        </w:trPr>
        <w:tc>
          <w:tcPr>
            <w:tcW w:w="30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</w:rPr>
              <w:t xml:space="preserve">površine određene za </w:t>
            </w:r>
            <w:r>
              <w:rPr>
                <w:rFonts w:cs="Times New Roman" w:ascii="Times New Roman" w:hAnsi="Times New Roman"/>
                <w:b/>
              </w:rPr>
              <w:t>zakup</w:t>
            </w:r>
          </w:p>
        </w:tc>
        <w:tc>
          <w:tcPr>
            <w:tcW w:w="1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  <w:t>1458,68</w:t>
            </w:r>
          </w:p>
        </w:tc>
        <w:tc>
          <w:tcPr>
            <w:tcW w:w="397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</w:rPr>
              <w:t xml:space="preserve">površine određene za </w:t>
            </w:r>
            <w:r>
              <w:rPr>
                <w:rFonts w:cs="Times New Roman" w:ascii="Times New Roman" w:hAnsi="Times New Roman"/>
                <w:b/>
              </w:rPr>
              <w:t>zakup za ribnjake</w:t>
            </w:r>
          </w:p>
        </w:tc>
        <w:tc>
          <w:tcPr>
            <w:tcW w:w="1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  <w:t>0,00</w:t>
            </w:r>
          </w:p>
        </w:tc>
        <w:tc>
          <w:tcPr>
            <w:tcW w:w="397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</w:rPr>
              <w:t xml:space="preserve">površine određene za </w:t>
            </w:r>
            <w:r>
              <w:rPr>
                <w:rFonts w:cs="Times New Roman" w:ascii="Times New Roman" w:hAnsi="Times New Roman"/>
                <w:b/>
              </w:rPr>
              <w:t>zakup zajedničkih pašnjaka</w:t>
            </w:r>
          </w:p>
        </w:tc>
        <w:tc>
          <w:tcPr>
            <w:tcW w:w="1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  <w:t>0,00</w:t>
            </w:r>
          </w:p>
        </w:tc>
        <w:tc>
          <w:tcPr>
            <w:tcW w:w="397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</w:r>
          </w:p>
        </w:tc>
      </w:tr>
      <w:tr>
        <w:trPr/>
        <w:tc>
          <w:tcPr>
            <w:tcW w:w="30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površine određene za </w:t>
            </w:r>
            <w:r>
              <w:rPr>
                <w:rFonts w:cs="Times New Roman" w:ascii="Times New Roman" w:hAnsi="Times New Roman"/>
                <w:b/>
              </w:rPr>
              <w:t xml:space="preserve">ostale namjene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jednokratno, maksimalno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hr-BA"/>
              </w:rPr>
            </w:pPr>
            <w:r>
              <w:rPr>
                <w:rFonts w:cs="Times New Roman" w:ascii="Times New Roman" w:hAnsi="Times New Roman"/>
              </w:rPr>
              <w:t>do 5%</w:t>
            </w:r>
          </w:p>
        </w:tc>
        <w:tc>
          <w:tcPr>
            <w:tcW w:w="1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  <w:t>51,71</w:t>
            </w:r>
          </w:p>
        </w:tc>
        <w:tc>
          <w:tcPr>
            <w:tcW w:w="397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hr-BA"/>
              </w:rPr>
            </w:pPr>
            <w:r>
              <w:rPr>
                <w:b/>
                <w:lang w:val="hr-BA"/>
              </w:rPr>
            </w:r>
          </w:p>
        </w:tc>
      </w:tr>
    </w:tbl>
    <w:p>
      <w:pPr>
        <w:pStyle w:val="Normal"/>
        <w:rPr>
          <w:b/>
          <w:b/>
          <w:lang w:val="hr-BA"/>
        </w:rPr>
      </w:pPr>
      <w:r>
        <w:rPr>
          <w:b/>
          <w:lang w:val="hr-BA"/>
        </w:rPr>
      </w:r>
    </w:p>
    <w:p>
      <w:pPr>
        <w:pStyle w:val="Normal"/>
        <w:rPr>
          <w:b/>
          <w:b/>
          <w:lang w:val="hr-BA"/>
        </w:rPr>
      </w:pPr>
      <w:r>
        <w:rPr>
          <w:b/>
          <w:lang w:val="hr-BA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MAKSIMALNA POVRŠINA ZA ZAKUP iznosi:</w:t>
      </w:r>
      <w:r>
        <w:rPr>
          <w:rFonts w:ascii="Times New Roman" w:hAnsi="Times New Roman"/>
          <w:sz w:val="24"/>
          <w:szCs w:val="24"/>
        </w:rPr>
        <w:t xml:space="preserve"> 80,00 ha.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NAPOMENA/OBRAZLOŽENJE</w:t>
      </w:r>
      <w:r>
        <w:rPr>
          <w:rFonts w:cs="Times New Roman" w:ascii="Times New Roman" w:hAnsi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>
          <w:trHeight w:val="4997" w:hRule="atLeast"/>
        </w:trPr>
        <w:tc>
          <w:tcPr>
            <w:tcW w:w="93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 području Općine Viškovci, poljoprivredno zemljište u vlasništvu Republike Hrvatske korišteno je temeljem sklopljenih Ugovora o privremenom korištenju.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Poljoprivredno zemljište u Ugovoru o privremenom korištenju označeno je kao tabla sa pripadajućom ukupnom površinom.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Općina Viškovci obuhvaća tri katastarske općine; Viškovci, Forkuševci i Vučevci, te ni u jednoj katastarskoj općini nije izvršena katastarska izmjera poljoprivrednog zemljišta.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Analizom katastarskih čestica, utvrđeno je da ima pojedinačnih čestica izvan tabli, koje su najvjerojatnije zamijenjene, ali zamjene nisu provedene, a vode se u Posjedovnom listu.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Pregledom čestica, ustanovljeno je da ima katastarskih čestica u vlasništvu privatnih osoba koji su dali to zemljište u zamjenu, a nije provedeno kroz zemljišne knjige, te u naravi uživaju drugo zemljište.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 veći dio katastarskih čestica koje su u Programu raspolaganja poljoprivrednim zemljištem u vlasništvu Republike Hrvatske, podaci Katastarskog operatera i Zemljišnih knjiga nisu usklađeni, te za dio katastarskih čestica nisu riješeni imovinsko-pr</w:t>
            </w:r>
            <w:bookmarkStart w:id="2" w:name="_GoBack1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>avni odnosi.</w:t>
            </w:r>
          </w:p>
        </w:tc>
      </w:tr>
    </w:tbl>
    <w:p>
      <w:pPr>
        <w:sectPr>
          <w:type w:val="nextPage"/>
          <w:pgSz w:w="11906" w:h="16838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04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044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d044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LibreOffice/5.0.4.2$Windows_x86 LibreOffice_project/2b9802c1994aa0b7dc6079e128979269cf95bc78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2018-04-21T12:55:00Z</dcterms:created>
  <dc:creator>Snježana Kraml</dc:creator>
  <dc:language>hr-HR</dc:language>
  <dcterms:modified xsi:type="dcterms:W3CDTF">2018-05-24T09:28:29Z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