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008" w:rsidRDefault="007E0008" w:rsidP="007E0008">
      <w:pPr>
        <w:jc w:val="right"/>
        <w:rPr>
          <w:b/>
          <w:i/>
          <w:sz w:val="36"/>
          <w:szCs w:val="36"/>
        </w:rPr>
      </w:pPr>
      <w:r w:rsidRPr="00044369">
        <w:rPr>
          <w:b/>
          <w:i/>
          <w:sz w:val="36"/>
          <w:szCs w:val="36"/>
        </w:rPr>
        <w:t>ISSN 1847-4853</w:t>
      </w:r>
    </w:p>
    <w:p w:rsidR="007E0008" w:rsidRDefault="007E0008" w:rsidP="007E0008">
      <w:pPr>
        <w:rPr>
          <w:rFonts w:ascii="Lucida Handwriting" w:hAnsi="Lucida Handwriting"/>
          <w:i/>
          <w:sz w:val="144"/>
          <w:szCs w:val="144"/>
        </w:rPr>
      </w:pPr>
    </w:p>
    <w:p w:rsidR="007E0008" w:rsidRPr="00355B04" w:rsidRDefault="007E0008" w:rsidP="007E0008">
      <w:pPr>
        <w:jc w:val="center"/>
        <w:rPr>
          <w:rFonts w:ascii="Algerian" w:hAnsi="Algerian"/>
          <w:i/>
          <w:sz w:val="144"/>
          <w:szCs w:val="144"/>
        </w:rPr>
      </w:pPr>
      <w:r w:rsidRPr="00355B04">
        <w:rPr>
          <w:rFonts w:ascii="Algerian" w:hAnsi="Algerian"/>
          <w:i/>
          <w:sz w:val="144"/>
          <w:szCs w:val="144"/>
        </w:rPr>
        <w:t>SLU</w:t>
      </w:r>
      <w:r w:rsidRPr="00355B04">
        <w:rPr>
          <w:i/>
          <w:sz w:val="144"/>
          <w:szCs w:val="144"/>
        </w:rPr>
        <w:t>Ž</w:t>
      </w:r>
      <w:r w:rsidRPr="00355B04">
        <w:rPr>
          <w:rFonts w:ascii="Algerian" w:hAnsi="Algerian"/>
          <w:i/>
          <w:sz w:val="144"/>
          <w:szCs w:val="144"/>
        </w:rPr>
        <w:t>BENI</w:t>
      </w:r>
    </w:p>
    <w:p w:rsidR="007E0008" w:rsidRPr="00355B04" w:rsidRDefault="007E0008" w:rsidP="007E0008">
      <w:pPr>
        <w:jc w:val="center"/>
        <w:rPr>
          <w:rFonts w:ascii="Algerian" w:hAnsi="Algerian"/>
          <w:i/>
          <w:sz w:val="144"/>
          <w:szCs w:val="144"/>
        </w:rPr>
      </w:pPr>
      <w:r w:rsidRPr="00355B04">
        <w:rPr>
          <w:rFonts w:ascii="Algerian" w:hAnsi="Algerian"/>
          <w:i/>
          <w:sz w:val="144"/>
          <w:szCs w:val="144"/>
        </w:rPr>
        <w:t>GLASNIK</w:t>
      </w: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jc w:val="center"/>
        <w:rPr>
          <w:rFonts w:ascii="Algerian" w:hAnsi="Algerian"/>
          <w:i/>
          <w:sz w:val="96"/>
          <w:szCs w:val="96"/>
        </w:rPr>
      </w:pPr>
      <w:r w:rsidRPr="00355B04">
        <w:rPr>
          <w:rFonts w:ascii="Algerian" w:hAnsi="Algerian"/>
          <w:i/>
          <w:sz w:val="96"/>
          <w:szCs w:val="96"/>
        </w:rPr>
        <w:t>OP</w:t>
      </w:r>
      <w:r w:rsidRPr="00355B04">
        <w:rPr>
          <w:i/>
          <w:sz w:val="96"/>
          <w:szCs w:val="96"/>
        </w:rPr>
        <w:t>Ć</w:t>
      </w:r>
      <w:r w:rsidRPr="00355B04">
        <w:rPr>
          <w:rFonts w:ascii="Algerian" w:hAnsi="Algerian"/>
          <w:i/>
          <w:sz w:val="96"/>
          <w:szCs w:val="96"/>
        </w:rPr>
        <w:t>INE VI</w:t>
      </w:r>
      <w:r w:rsidRPr="00355B04">
        <w:rPr>
          <w:rFonts w:ascii="Algerian" w:hAnsi="Algerian" w:cs="Lucida Handwriting"/>
          <w:i/>
          <w:sz w:val="96"/>
          <w:szCs w:val="96"/>
        </w:rPr>
        <w:t>Š</w:t>
      </w:r>
      <w:r w:rsidRPr="00355B04">
        <w:rPr>
          <w:rFonts w:ascii="Algerian" w:hAnsi="Algerian"/>
          <w:i/>
          <w:sz w:val="96"/>
          <w:szCs w:val="96"/>
        </w:rPr>
        <w:t>KOVCI</w:t>
      </w:r>
    </w:p>
    <w:p w:rsidR="007E0008" w:rsidRPr="00355B04" w:rsidRDefault="007E0008" w:rsidP="007E0008">
      <w:pPr>
        <w:rPr>
          <w:rFonts w:ascii="Algerian" w:hAnsi="Algerian"/>
          <w:sz w:val="72"/>
          <w:szCs w:val="72"/>
        </w:rPr>
      </w:pPr>
    </w:p>
    <w:p w:rsidR="007E0008" w:rsidRPr="00355B04" w:rsidRDefault="007E0008" w:rsidP="007E0008">
      <w:pPr>
        <w:jc w:val="center"/>
        <w:rPr>
          <w:rFonts w:ascii="Algerian" w:hAnsi="Algerian"/>
          <w:sz w:val="72"/>
          <w:szCs w:val="72"/>
        </w:rPr>
      </w:pPr>
      <w:r w:rsidRPr="00355B04">
        <w:rPr>
          <w:rFonts w:ascii="Algerian" w:hAnsi="Algerian"/>
          <w:sz w:val="72"/>
          <w:szCs w:val="72"/>
        </w:rPr>
        <w:t>Broj 2</w:t>
      </w: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Pr="00355B04" w:rsidRDefault="007E0008" w:rsidP="007E0008">
      <w:pPr>
        <w:jc w:val="center"/>
        <w:rPr>
          <w:rFonts w:ascii="Monotype Corsiva" w:hAnsi="Monotype Corsiva"/>
          <w:b/>
          <w:sz w:val="52"/>
          <w:szCs w:val="52"/>
        </w:rPr>
      </w:pPr>
      <w:r w:rsidRPr="00355B04">
        <w:rPr>
          <w:rFonts w:ascii="Monotype Corsiva" w:hAnsi="Monotype Corsiva"/>
          <w:b/>
          <w:sz w:val="52"/>
          <w:szCs w:val="52"/>
        </w:rPr>
        <w:t>Viškovci, 15. ožujka 2018.</w:t>
      </w:r>
    </w:p>
    <w:p w:rsidR="007E0008" w:rsidRPr="00355B04" w:rsidRDefault="007E0008" w:rsidP="007E0008">
      <w:pPr>
        <w:rPr>
          <w:rFonts w:ascii="Juice ITC" w:hAnsi="Juice ITC"/>
          <w:b/>
        </w:rPr>
      </w:pPr>
    </w:p>
    <w:p w:rsidR="007E0008" w:rsidRPr="00355B04" w:rsidRDefault="007E0008" w:rsidP="007E0008">
      <w:pPr>
        <w:rPr>
          <w:rFonts w:ascii="Algerian" w:hAnsi="Algerian"/>
        </w:rPr>
      </w:pPr>
    </w:p>
    <w:p w:rsidR="007E0008" w:rsidRDefault="007E0008" w:rsidP="007E0008"/>
    <w:p w:rsidR="007E0008" w:rsidRDefault="007E0008" w:rsidP="007E0008"/>
    <w:p w:rsidR="007E0008" w:rsidRDefault="007E0008" w:rsidP="007E0008"/>
    <w:p w:rsidR="007E0008" w:rsidRDefault="007E0008" w:rsidP="007E0008"/>
    <w:p w:rsidR="007E0008" w:rsidRDefault="007E0008" w:rsidP="007E0008"/>
    <w:p w:rsidR="007E0008" w:rsidRPr="007F19A1" w:rsidRDefault="007E0008" w:rsidP="007E0008">
      <w:pPr>
        <w:pBdr>
          <w:bottom w:val="single" w:sz="12" w:space="1" w:color="auto"/>
        </w:pBdr>
        <w:jc w:val="center"/>
        <w:rPr>
          <w:rFonts w:ascii="Aharoni" w:hAnsi="Aharoni" w:cs="Aharoni"/>
          <w:b/>
        </w:rPr>
      </w:pPr>
      <w:r w:rsidRPr="007F19A1">
        <w:rPr>
          <w:rFonts w:ascii="Aharoni" w:hAnsi="Aharoni" w:cs="Aharoni"/>
          <w:b/>
        </w:rPr>
        <w:lastRenderedPageBreak/>
        <w:t>Službeni glasnik</w:t>
      </w:r>
    </w:p>
    <w:p w:rsidR="007E0008" w:rsidRPr="007F19A1" w:rsidRDefault="007E0008" w:rsidP="007E0008">
      <w:pPr>
        <w:rPr>
          <w:rFonts w:ascii="Aharoni" w:hAnsi="Aharoni" w:cs="Aharoni"/>
        </w:rPr>
      </w:pPr>
    </w:p>
    <w:p w:rsidR="007E0008" w:rsidRPr="00533967" w:rsidRDefault="007E0008" w:rsidP="007E0008">
      <w:pPr>
        <w:rPr>
          <w:rFonts w:ascii="Algerian" w:hAnsi="Algerian"/>
        </w:rPr>
      </w:pPr>
    </w:p>
    <w:p w:rsidR="007E0008" w:rsidRPr="00533967" w:rsidRDefault="007E0008" w:rsidP="007E0008">
      <w:pPr>
        <w:spacing w:line="360" w:lineRule="auto"/>
        <w:rPr>
          <w:i/>
          <w:u w:val="single"/>
        </w:rPr>
      </w:pPr>
      <w:r w:rsidRPr="00533967">
        <w:rPr>
          <w:i/>
          <w:u w:val="single"/>
        </w:rPr>
        <w:t>AKTI OPĆINSKOG NAČELNIKA</w:t>
      </w:r>
    </w:p>
    <w:p w:rsidR="007E0008" w:rsidRDefault="007E0008" w:rsidP="007E0008">
      <w:pPr>
        <w:spacing w:line="360" w:lineRule="auto"/>
      </w:pPr>
    </w:p>
    <w:p w:rsidR="007E0008" w:rsidRDefault="007E0008" w:rsidP="007E0008">
      <w:pPr>
        <w:spacing w:line="360" w:lineRule="auto"/>
        <w:ind w:left="360"/>
        <w:jc w:val="both"/>
      </w:pPr>
      <w:r>
        <w:t>1.  Odluka o isplati uskrsnice umirovljenicima s područja Općine Viškovci……………..3</w:t>
      </w:r>
    </w:p>
    <w:p w:rsidR="007E0008" w:rsidRDefault="007E0008" w:rsidP="007E0008">
      <w:pPr>
        <w:spacing w:line="360" w:lineRule="auto"/>
        <w:ind w:left="360"/>
        <w:jc w:val="both"/>
      </w:pPr>
      <w:r>
        <w:t>2. Odluka o isplati uskrsnice korisnicima zajamčene minimalne naknade sa područja Općine Viškovci …………………………………………………………………………..4</w:t>
      </w:r>
    </w:p>
    <w:p w:rsidR="007E0008" w:rsidRDefault="007E0008" w:rsidP="007E0008">
      <w:pPr>
        <w:spacing w:line="360" w:lineRule="auto"/>
        <w:ind w:left="360"/>
        <w:jc w:val="both"/>
      </w:pPr>
      <w:r>
        <w:t>3. Odluka o isplati jednokratne novčane pomoći redovnim studentima s područja Općine Viškovci …………………………………………………………………………..………5</w:t>
      </w:r>
    </w:p>
    <w:p w:rsidR="00304B48" w:rsidRDefault="00AF60F7"/>
    <w:p w:rsidR="007E0008" w:rsidRDefault="007E0008"/>
    <w:p w:rsidR="00575B91" w:rsidRDefault="00575B91">
      <w:pPr>
        <w:sectPr w:rsidR="00575B91" w:rsidSect="007F19A1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pgNumType w:start="1" w:chapStyle="1"/>
          <w:cols w:space="708"/>
          <w:titlePg/>
          <w:docGrid w:linePitch="360"/>
        </w:sectPr>
      </w:pP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lastRenderedPageBreak/>
        <w:t>Na temelju članka 47. Statuta Općine Viškovci („Službeni glasnik“ Općine Viškovci 01/2013 i 1/2018 ) Općinski načelnik Općine Viškovci dana 14. ožujka 2018. godine donosi:</w:t>
      </w:r>
    </w:p>
    <w:p w:rsidR="007E0008" w:rsidRPr="007E0008" w:rsidRDefault="007E0008" w:rsidP="007E0008">
      <w:pPr>
        <w:spacing w:after="200" w:line="276" w:lineRule="auto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ODLUKU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 O ISPLATI USKRSNICE  UMIROVLJENICIMA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 S PODRUČJA OPĆINE VIŠKOVCI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Članak 1.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 xml:space="preserve">    Umirovljenicima kojima visina mirovine ne prelazi iznos veći od 2.000,00n zajedno sa mirovinom iz inozemstva uoči Uskrsa  isplatiti će se uskrsnica  u iznosu od 100,00kn.  Uskrsnica će se isplaćivati od 22. do 27. ožujka 2018. godine u vremenu od 08,00 do 15,00 sati.  Sredstva za ovu namjenu osigurana su u Proračunu Općine Viškovci za 2018. godinu.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Članak 2. 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Osobe koje ostvaruju pravo na isplatu uskrsnice na način utvrđen u članku  I. ove Odluke, dužni su u Jedinstvenom upravnom odjelu Općine Viškovci podnijeti zahtjev te dostaviti zadnji odrezak od mirovine ili potvrdu iz mirovinskog osiguranja o visini mirovine i OIB.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Članak 3. 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 xml:space="preserve">Za provođenje ove Odluke zadužuje se Jedinstveni upravni odjel Općine Viškovci. Isplata će se vršiti putem blagajne. 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Članak 4.  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Ova Odluka stupa na snagu osmog dana od dana objave u „Službenom glasniku Općine Viškovci“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Klasa:402-08/18-01/04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Urbroj:2121/10-02-02/18-77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Viškovci, 14.  ožujka 2018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rPr>
          <w:rFonts w:eastAsiaTheme="minorHAnsi"/>
          <w:b/>
          <w:lang w:eastAsia="en-US"/>
        </w:rPr>
      </w:pPr>
    </w:p>
    <w:p w:rsidR="007E0008" w:rsidRPr="007E0008" w:rsidRDefault="007E0008" w:rsidP="007E0008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OPĆINSKI NAČELNIK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Ante Krištić v.r.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lastRenderedPageBreak/>
        <w:t xml:space="preserve">     Na temelju članka 47. Statuta Općine Viškovci („Službeni glasnik“ Općine Viškovci 01/2013 i 1/2018 ) Općinski načelnik Općine Viškovci dana 14. ožujka 2018. godine donosi:</w:t>
      </w:r>
    </w:p>
    <w:p w:rsidR="007E0008" w:rsidRDefault="007E0008" w:rsidP="007E0008">
      <w:pPr>
        <w:spacing w:after="200" w:line="276" w:lineRule="auto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ODLUKU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 O ISPLATI USKRSNICE  KORISNICIMA ZAJAMČENE MINIMALNE NAKNADE 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 S PODRUČJA OPĆINE VIŠKOVCI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Članak 1.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Korisnicima zajamčene minimalne naknade s područja Općine Viškovci uoči Uskrsa  isplatiti će se uskrsnica  u iznosu od 100,00kn.  Uskrsnica će se isplaćivati od 22. do 27. ožujka 2018. godine u vremenu od 08,00 do 15,00 sati.  Sredstva za ovu namjenu osigurana su u Proračunu Općine Viškovci za 2018. godinu.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Članak 2. 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Osobe koje ostvaruju pravo na isplatu  uskrsnice na način utvrđen u članku  I. ove Odluke, dužni su u Jedinstvenom upravnom odjelu Općine Viškovci podnijeti zahtjev te dostaviti zadnji odrezak primljene zajamčene minimalne naknade.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Članak 3. 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 xml:space="preserve">Za provođenje ove Odluke zadužuje se Jedinstveni upravni odjel Općine Viškovci. Isplata će se vršiti putem blagajne. 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Članak 4.  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Ova Odluka stupa na snagu osmog dana od dana objave u „Službenom glasniku Općine Viškovci“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Klasa:402-08/18-01/05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Urbroj:2121/10-02-02/18-78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Viškovci, 14.  ožujka 2018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rPr>
          <w:rFonts w:eastAsiaTheme="minorHAnsi"/>
          <w:b/>
          <w:lang w:eastAsia="en-US"/>
        </w:rPr>
      </w:pPr>
    </w:p>
    <w:p w:rsidR="007E0008" w:rsidRPr="007E0008" w:rsidRDefault="007E0008" w:rsidP="007E0008">
      <w:pPr>
        <w:spacing w:after="200" w:line="276" w:lineRule="auto"/>
        <w:jc w:val="right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OPĆINSKI NAČELNIK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Ante Krištić v.r. </w:t>
      </w:r>
    </w:p>
    <w:p w:rsidR="007E0008" w:rsidRPr="007E0008" w:rsidRDefault="007E0008" w:rsidP="007E0008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7E0008" w:rsidRDefault="007E0008"/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 xml:space="preserve">        Na temelju članka 47. Statuta Općine Viškovci („Službeni glasnik“ Općine Viškovci 1/2013 i 1/2018) Općinski načelnik Općine Viškovci dana 14. ožujka 2018. godine donosi:</w:t>
      </w:r>
    </w:p>
    <w:p w:rsidR="007E0008" w:rsidRPr="007E0008" w:rsidRDefault="007E0008" w:rsidP="007E0008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r w:rsidRPr="007E0008">
        <w:rPr>
          <w:rFonts w:eastAsiaTheme="minorHAnsi"/>
          <w:b/>
          <w:sz w:val="28"/>
          <w:szCs w:val="28"/>
          <w:lang w:eastAsia="en-US"/>
        </w:rPr>
        <w:t>ODLUKU</w:t>
      </w:r>
    </w:p>
    <w:bookmarkEnd w:id="0"/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E0008">
        <w:rPr>
          <w:rFonts w:eastAsiaTheme="minorHAnsi"/>
          <w:b/>
          <w:sz w:val="28"/>
          <w:szCs w:val="28"/>
          <w:lang w:eastAsia="en-US"/>
        </w:rPr>
        <w:t xml:space="preserve">O ISPLATI JEDNOKRATNE NOVČANE POMOĆI  REDOVNIM STUDENTIMA 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7E0008">
        <w:rPr>
          <w:rFonts w:eastAsiaTheme="minorHAnsi"/>
          <w:b/>
          <w:sz w:val="28"/>
          <w:szCs w:val="28"/>
          <w:lang w:eastAsia="en-US"/>
        </w:rPr>
        <w:t>SA PODRUČJA OPĆINE VIŠKOVCI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Članak 1.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Osobe koje su upisane kao redovni student na fakultetu uoči Uskrsa isplatit će se jednokratna novčana pomoć u iznosu od 500,00kn.</w:t>
      </w:r>
    </w:p>
    <w:p w:rsidR="007E0008" w:rsidRPr="007E0008" w:rsidRDefault="007E0008" w:rsidP="007E000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 xml:space="preserve">Jednokratna novčana pomoć  isplaćivati će se od 22. do 27. ožujka 2018 godine u vremenu od 8,00 do 15,00 sati. Sredstva za ovu namjenu osigurana su u Proračunu Općine Viškovci za 2018. godinu. </w:t>
      </w:r>
    </w:p>
    <w:p w:rsidR="007E0008" w:rsidRPr="007E0008" w:rsidRDefault="007E0008" w:rsidP="007E000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Članak 2.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Osobe koje ostvaruju prave na isplatu jednokratne novčane pomoći  na način utvrđen u članku I. ove Odluke, dužni su u Jedinstvenom upravnom odjelu Općine Viškovci podnijeti zahtjev te dostaviti potvrdu sa fakulteta da su upisani kao redovni student, osobnu iskaznicu i OIB.</w:t>
      </w:r>
    </w:p>
    <w:p w:rsidR="007E0008" w:rsidRPr="007E0008" w:rsidRDefault="007E0008" w:rsidP="007E000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Članak 3.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Za provođenje ove Odluke zadužuje se Jedinstveni upravni odjel Općine Viškovci. Isplata će se vršiti putem blagajne.</w:t>
      </w:r>
    </w:p>
    <w:p w:rsidR="007E0008" w:rsidRPr="007E0008" w:rsidRDefault="007E0008" w:rsidP="007E000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  <w:r w:rsidRPr="007E0008">
        <w:rPr>
          <w:rFonts w:eastAsiaTheme="minorHAnsi"/>
          <w:b/>
          <w:lang w:eastAsia="en-US"/>
        </w:rPr>
        <w:t>Članak 4.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b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 xml:space="preserve">Ova Odluka stupa na snagu osmog dana od dana objave u „Službenom glasniku Općine Viškovci“. </w:t>
      </w: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Klasa:402-08/18-01/03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Urbroj:2121/10-02-02/18-76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Viškovci, 14. ožujka 2018.</w:t>
      </w: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right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>OPĆINSKI NAČELNIK</w:t>
      </w:r>
    </w:p>
    <w:p w:rsidR="007E0008" w:rsidRPr="007E0008" w:rsidRDefault="007E0008" w:rsidP="007E0008">
      <w:pPr>
        <w:spacing w:after="200" w:line="276" w:lineRule="auto"/>
        <w:contextualSpacing/>
        <w:jc w:val="right"/>
        <w:rPr>
          <w:rFonts w:eastAsiaTheme="minorHAnsi"/>
          <w:lang w:eastAsia="en-US"/>
        </w:rPr>
      </w:pPr>
    </w:p>
    <w:p w:rsidR="007E0008" w:rsidRPr="007E0008" w:rsidRDefault="007E0008" w:rsidP="007E0008">
      <w:pPr>
        <w:spacing w:after="200" w:line="276" w:lineRule="auto"/>
        <w:contextualSpacing/>
        <w:jc w:val="center"/>
        <w:rPr>
          <w:rFonts w:eastAsiaTheme="minorHAnsi"/>
          <w:lang w:eastAsia="en-US"/>
        </w:rPr>
      </w:pPr>
      <w:r w:rsidRPr="007E0008">
        <w:rPr>
          <w:rFonts w:eastAsiaTheme="minorHAnsi"/>
          <w:lang w:eastAsia="en-US"/>
        </w:rPr>
        <w:t xml:space="preserve">                                                                                                                 Ante Krištić v.r.</w:t>
      </w:r>
    </w:p>
    <w:p w:rsidR="007E0008" w:rsidRPr="007F19A1" w:rsidRDefault="007E0008" w:rsidP="007E0008">
      <w:pPr>
        <w:pBdr>
          <w:bottom w:val="single" w:sz="12" w:space="1" w:color="auto"/>
        </w:pBdr>
        <w:jc w:val="center"/>
        <w:rPr>
          <w:rFonts w:ascii="Aharoni" w:hAnsi="Aharoni" w:cs="Aharoni"/>
          <w:sz w:val="32"/>
          <w:szCs w:val="32"/>
        </w:rPr>
      </w:pPr>
      <w:r w:rsidRPr="007F19A1">
        <w:rPr>
          <w:rFonts w:ascii="Aharoni" w:hAnsi="Aharoni" w:cs="Aharoni"/>
          <w:sz w:val="32"/>
          <w:szCs w:val="32"/>
        </w:rPr>
        <w:lastRenderedPageBreak/>
        <w:t>Službeni glasnik</w:t>
      </w: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Default="007E0008" w:rsidP="007E0008">
      <w:pP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pBdr>
          <w:bottom w:val="single" w:sz="12" w:space="1" w:color="auto"/>
        </w:pBdr>
        <w:jc w:val="center"/>
        <w:rPr>
          <w:rFonts w:ascii="Tahoma" w:hAnsi="Tahoma"/>
          <w:sz w:val="28"/>
          <w:szCs w:val="28"/>
        </w:rPr>
      </w:pPr>
    </w:p>
    <w:p w:rsidR="007E0008" w:rsidRDefault="007E0008" w:rsidP="007E0008">
      <w:pPr>
        <w:rPr>
          <w:rFonts w:ascii="Tahoma" w:hAnsi="Tahoma"/>
          <w:sz w:val="28"/>
          <w:szCs w:val="28"/>
        </w:rPr>
      </w:pPr>
    </w:p>
    <w:p w:rsidR="007E0008" w:rsidRPr="007F19A1" w:rsidRDefault="007E0008" w:rsidP="007E0008">
      <w:pPr>
        <w:rPr>
          <w:rFonts w:ascii="Batang" w:eastAsia="Batang" w:hAnsi="Batang"/>
          <w:b/>
          <w:i/>
        </w:rPr>
      </w:pPr>
      <w:r w:rsidRPr="007F19A1">
        <w:rPr>
          <w:rFonts w:ascii="Batang" w:eastAsia="Batang" w:hAnsi="Batang"/>
          <w:b/>
          <w:i/>
        </w:rPr>
        <w:t xml:space="preserve">Izdaje: </w:t>
      </w:r>
      <w:r w:rsidRPr="007F19A1">
        <w:rPr>
          <w:rFonts w:ascii="Batang" w:eastAsia="Batang" w:hAnsi="Batang"/>
          <w:i/>
        </w:rPr>
        <w:t>Općina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</w:t>
      </w:r>
    </w:p>
    <w:p w:rsidR="007E0008" w:rsidRPr="007F19A1" w:rsidRDefault="007E0008" w:rsidP="007E0008">
      <w:pPr>
        <w:rPr>
          <w:rFonts w:ascii="Batang" w:eastAsia="Batang" w:hAnsi="Batang"/>
          <w:i/>
        </w:rPr>
      </w:pPr>
      <w:r w:rsidRPr="007F19A1">
        <w:rPr>
          <w:rFonts w:ascii="Batang" w:eastAsia="Batang" w:hAnsi="Batang"/>
          <w:b/>
          <w:i/>
        </w:rPr>
        <w:t xml:space="preserve">Sjedište: </w:t>
      </w:r>
      <w:r w:rsidRPr="007F19A1">
        <w:rPr>
          <w:rFonts w:ascii="Batang" w:eastAsia="Batang" w:hAnsi="Batang"/>
          <w:i/>
        </w:rPr>
        <w:t>Općina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kovci, Omladinska 23,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</w:t>
      </w:r>
    </w:p>
    <w:p w:rsidR="007E0008" w:rsidRPr="007F19A1" w:rsidRDefault="007E0008" w:rsidP="007E0008">
      <w:pPr>
        <w:rPr>
          <w:rFonts w:ascii="Batang" w:eastAsia="Batang" w:hAnsi="Batang"/>
          <w:b/>
          <w:i/>
        </w:rPr>
      </w:pPr>
      <w:r w:rsidRPr="007F19A1">
        <w:rPr>
          <w:rFonts w:ascii="Batang" w:eastAsia="Batang" w:hAnsi="Batang"/>
          <w:b/>
          <w:i/>
        </w:rPr>
        <w:t xml:space="preserve">Glavni i odgovorni urednik: </w:t>
      </w:r>
      <w:r w:rsidRPr="007F19A1">
        <w:rPr>
          <w:rFonts w:ascii="Batang" w:eastAsia="Batang" w:hAnsi="Batang"/>
          <w:i/>
        </w:rPr>
        <w:t>Ante Krištić,</w:t>
      </w:r>
      <w:r w:rsidR="007F19A1" w:rsidRPr="007F19A1">
        <w:rPr>
          <w:rFonts w:ascii="Batang" w:eastAsia="Batang" w:hAnsi="Batang"/>
          <w:i/>
        </w:rPr>
        <w:t xml:space="preserve"> općinski </w:t>
      </w:r>
      <w:r w:rsidRPr="007F19A1">
        <w:rPr>
          <w:rFonts w:ascii="Batang" w:eastAsia="Batang" w:hAnsi="Batang"/>
          <w:i/>
        </w:rPr>
        <w:t xml:space="preserve"> načelnik Općine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</w:t>
      </w:r>
    </w:p>
    <w:p w:rsidR="007E0008" w:rsidRPr="007F19A1" w:rsidRDefault="007E0008" w:rsidP="007E0008">
      <w:pPr>
        <w:rPr>
          <w:rFonts w:ascii="Batang" w:eastAsia="Batang" w:hAnsi="Batang"/>
          <w:i/>
        </w:rPr>
      </w:pPr>
      <w:r w:rsidRPr="007F19A1">
        <w:rPr>
          <w:rFonts w:ascii="Batang" w:eastAsia="Batang" w:hAnsi="Batang"/>
          <w:b/>
          <w:i/>
        </w:rPr>
        <w:t>Tisak:</w:t>
      </w:r>
      <w:r w:rsidR="007F19A1" w:rsidRPr="007F19A1">
        <w:rPr>
          <w:rFonts w:ascii="Batang" w:eastAsia="Batang" w:hAnsi="Batang"/>
          <w:b/>
          <w:i/>
        </w:rPr>
        <w:t xml:space="preserve"> </w:t>
      </w:r>
      <w:r w:rsidRPr="007F19A1">
        <w:rPr>
          <w:rFonts w:ascii="Batang" w:eastAsia="Batang" w:hAnsi="Batang"/>
          <w:i/>
        </w:rPr>
        <w:t>Jedinstveni upravni odjel Općine Vi</w:t>
      </w:r>
      <w:r w:rsidRPr="007F19A1">
        <w:rPr>
          <w:rFonts w:ascii="Batang" w:eastAsia="Batang" w:hAnsi="Batang" w:cs="Lucida Handwriting"/>
          <w:i/>
        </w:rPr>
        <w:t>š</w:t>
      </w:r>
      <w:r w:rsidRPr="007F19A1">
        <w:rPr>
          <w:rFonts w:ascii="Batang" w:eastAsia="Batang" w:hAnsi="Batang"/>
          <w:i/>
        </w:rPr>
        <w:t>kovci, Omladinska 23</w:t>
      </w:r>
    </w:p>
    <w:p w:rsidR="007E0008" w:rsidRPr="007F19A1" w:rsidRDefault="007E0008" w:rsidP="007E0008">
      <w:pPr>
        <w:rPr>
          <w:rFonts w:ascii="Batang" w:eastAsia="Batang" w:hAnsi="Batang"/>
          <w:b/>
          <w:i/>
        </w:rPr>
      </w:pPr>
      <w:r w:rsidRPr="007F19A1">
        <w:rPr>
          <w:rFonts w:ascii="Batang" w:eastAsia="Batang" w:hAnsi="Batang"/>
          <w:b/>
          <w:i/>
        </w:rPr>
        <w:t xml:space="preserve">Broj tiskanih primjeraka: </w:t>
      </w:r>
      <w:r w:rsidRPr="007F19A1">
        <w:rPr>
          <w:rFonts w:ascii="Batang" w:eastAsia="Batang" w:hAnsi="Batang"/>
          <w:b/>
        </w:rPr>
        <w:t>20</w:t>
      </w:r>
    </w:p>
    <w:p w:rsidR="007E0008" w:rsidRPr="007F19A1" w:rsidRDefault="007E0008">
      <w:pPr>
        <w:rPr>
          <w:rFonts w:ascii="Batang" w:eastAsia="Batang" w:hAnsi="Batang"/>
          <w:i/>
        </w:rPr>
      </w:pPr>
    </w:p>
    <w:sectPr w:rsidR="007E0008" w:rsidRPr="007F19A1" w:rsidSect="006522D9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0F7" w:rsidRDefault="00AF60F7" w:rsidP="007F19A1">
      <w:r>
        <w:separator/>
      </w:r>
    </w:p>
  </w:endnote>
  <w:endnote w:type="continuationSeparator" w:id="0">
    <w:p w:rsidR="00AF60F7" w:rsidRDefault="00AF60F7" w:rsidP="007F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Arial"/>
    <w:charset w:val="00"/>
    <w:family w:val="auto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7341308"/>
      <w:docPartObj>
        <w:docPartGallery w:val="Page Numbers (Bottom of Page)"/>
        <w:docPartUnique/>
      </w:docPartObj>
    </w:sdtPr>
    <w:sdtContent>
      <w:p w:rsidR="006522D9" w:rsidRDefault="006522D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7F19A1" w:rsidRDefault="007F19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B91" w:rsidRDefault="00575B91">
    <w:pPr>
      <w:pStyle w:val="Podnoje"/>
      <w:jc w:val="center"/>
    </w:pPr>
  </w:p>
  <w:p w:rsidR="00575B91" w:rsidRDefault="00575B9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306588"/>
      <w:docPartObj>
        <w:docPartGallery w:val="Page Numbers (Bottom of Page)"/>
        <w:docPartUnique/>
      </w:docPartObj>
    </w:sdtPr>
    <w:sdtContent>
      <w:p w:rsidR="006522D9" w:rsidRDefault="006522D9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75B91" w:rsidRDefault="00575B9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0F7" w:rsidRDefault="00AF60F7" w:rsidP="007F19A1">
      <w:r>
        <w:separator/>
      </w:r>
    </w:p>
  </w:footnote>
  <w:footnote w:type="continuationSeparator" w:id="0">
    <w:p w:rsidR="00AF60F7" w:rsidRDefault="00AF60F7" w:rsidP="007F1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B91" w:rsidRDefault="00575B91" w:rsidP="00575B91">
    <w:pPr>
      <w:pStyle w:val="Zaglavlje"/>
      <w:tabs>
        <w:tab w:val="clear" w:pos="4536"/>
        <w:tab w:val="clear" w:pos="9072"/>
        <w:tab w:val="left" w:pos="24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B91" w:rsidRDefault="00575B9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08"/>
    <w:rsid w:val="00544074"/>
    <w:rsid w:val="00575B91"/>
    <w:rsid w:val="006522D9"/>
    <w:rsid w:val="00786EE2"/>
    <w:rsid w:val="007E0008"/>
    <w:rsid w:val="007F19A1"/>
    <w:rsid w:val="00AB6EB1"/>
    <w:rsid w:val="00A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DEE06"/>
  <w15:docId w15:val="{4C8D32D2-1EA3-4362-A584-BC20482D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00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19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19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7F19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19A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A707-6930-45A7-A1C6-76BADEEB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Domagoj Pavic</cp:lastModifiedBy>
  <cp:revision>3</cp:revision>
  <dcterms:created xsi:type="dcterms:W3CDTF">2018-04-16T09:55:00Z</dcterms:created>
  <dcterms:modified xsi:type="dcterms:W3CDTF">2018-04-16T13:35:00Z</dcterms:modified>
</cp:coreProperties>
</file>